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AE3D" w14:textId="77777777" w:rsidR="00382D16" w:rsidRPr="00B07D2E" w:rsidRDefault="005420A2" w:rsidP="00E271E2">
      <w:pPr>
        <w:spacing w:after="0" w:line="240" w:lineRule="auto"/>
        <w:jc w:val="both"/>
      </w:pPr>
      <w:r w:rsidRPr="00B07D2E">
        <w:rPr>
          <w:noProof/>
        </w:rPr>
        <mc:AlternateContent>
          <mc:Choice Requires="wps">
            <w:drawing>
              <wp:anchor distT="45720" distB="45720" distL="114300" distR="114300" simplePos="0" relativeHeight="251658240" behindDoc="0" locked="0" layoutInCell="1" allowOverlap="1" wp14:anchorId="057B2DC1" wp14:editId="6196E6C1">
                <wp:simplePos x="0" y="0"/>
                <wp:positionH relativeFrom="column">
                  <wp:posOffset>2226310</wp:posOffset>
                </wp:positionH>
                <wp:positionV relativeFrom="paragraph">
                  <wp:posOffset>1525270</wp:posOffset>
                </wp:positionV>
                <wp:extent cx="3797300" cy="28575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7300" cy="2857500"/>
                        </a:xfrm>
                        <a:prstGeom prst="rect">
                          <a:avLst/>
                        </a:prstGeom>
                        <a:noFill/>
                        <a:ln w="9525">
                          <a:noFill/>
                          <a:miter lim="800000"/>
                          <a:headEnd/>
                          <a:tailEnd/>
                        </a:ln>
                      </wps:spPr>
                      <wps:txbx>
                        <w:txbxContent>
                          <w:p w14:paraId="2D0AE2E0" w14:textId="3EE45180" w:rsidR="00C36237" w:rsidRDefault="00C36237" w:rsidP="00C36237">
                            <w:pPr>
                              <w:spacing w:after="0" w:line="240" w:lineRule="auto"/>
                              <w:jc w:val="right"/>
                              <w:rPr>
                                <w:rFonts w:ascii="Prompt" w:hAnsi="Prompt" w:cs="Prompt"/>
                                <w:color w:val="63AEBD"/>
                                <w:sz w:val="20"/>
                                <w:szCs w:val="24"/>
                              </w:rPr>
                            </w:pPr>
                          </w:p>
                          <w:p w14:paraId="58176348" w14:textId="14489B73" w:rsidR="00FE0A4C" w:rsidRDefault="00FE0A4C" w:rsidP="00C36237">
                            <w:pPr>
                              <w:spacing w:after="0" w:line="240" w:lineRule="auto"/>
                              <w:jc w:val="right"/>
                              <w:rPr>
                                <w:rFonts w:ascii="Prompt" w:hAnsi="Prompt" w:cs="Prompt"/>
                                <w:color w:val="63AEBD"/>
                                <w:sz w:val="20"/>
                                <w:szCs w:val="24"/>
                              </w:rPr>
                            </w:pPr>
                          </w:p>
                          <w:p w14:paraId="40803988" w14:textId="122BFD70" w:rsidR="00FE0A4C" w:rsidRDefault="00FE0A4C" w:rsidP="00C36237">
                            <w:pPr>
                              <w:spacing w:after="0" w:line="240" w:lineRule="auto"/>
                              <w:jc w:val="right"/>
                              <w:rPr>
                                <w:rFonts w:ascii="Prompt" w:hAnsi="Prompt" w:cs="Prompt"/>
                                <w:color w:val="63AEBD"/>
                                <w:sz w:val="20"/>
                                <w:szCs w:val="24"/>
                              </w:rPr>
                            </w:pPr>
                          </w:p>
                          <w:p w14:paraId="3CA65BCC" w14:textId="77777777" w:rsidR="00FE0A4C" w:rsidRDefault="00FE0A4C" w:rsidP="00C36237">
                            <w:pPr>
                              <w:spacing w:after="0" w:line="240" w:lineRule="auto"/>
                              <w:jc w:val="right"/>
                              <w:rPr>
                                <w:rFonts w:ascii="Prompt" w:hAnsi="Prompt" w:cs="Prompt"/>
                                <w:color w:val="63AEBD"/>
                                <w:sz w:val="20"/>
                                <w:szCs w:val="24"/>
                              </w:rPr>
                            </w:pPr>
                          </w:p>
                          <w:p w14:paraId="15AE6B71" w14:textId="77777777" w:rsidR="00C36237" w:rsidRDefault="00C36237" w:rsidP="00C36237">
                            <w:pPr>
                              <w:spacing w:after="0" w:line="240" w:lineRule="auto"/>
                              <w:jc w:val="right"/>
                              <w:rPr>
                                <w:rFonts w:ascii="Prompt" w:hAnsi="Prompt" w:cs="Prompt"/>
                                <w:color w:val="63AEBD"/>
                                <w:sz w:val="20"/>
                                <w:szCs w:val="24"/>
                              </w:rPr>
                            </w:pPr>
                          </w:p>
                          <w:p w14:paraId="11335FE3" w14:textId="77777777" w:rsidR="00FE0A4C" w:rsidRPr="00FE0A4C" w:rsidRDefault="00FE0A4C" w:rsidP="00FE0A4C">
                            <w:pPr>
                              <w:spacing w:after="0" w:line="240" w:lineRule="auto"/>
                              <w:jc w:val="right"/>
                              <w:rPr>
                                <w:rFonts w:ascii="Prompt" w:hAnsi="Prompt" w:cs="Prompt"/>
                                <w:color w:val="63AEBD"/>
                                <w:sz w:val="20"/>
                                <w:szCs w:val="24"/>
                              </w:rPr>
                            </w:pPr>
                            <w:r w:rsidRPr="00FE0A4C">
                              <w:rPr>
                                <w:rFonts w:ascii="Prompt" w:hAnsi="Prompt" w:cs="Prompt"/>
                                <w:color w:val="63AEBD"/>
                                <w:sz w:val="20"/>
                                <w:szCs w:val="24"/>
                              </w:rPr>
                              <w:t>Gustavo Carlos Cordova Morillo</w:t>
                            </w:r>
                          </w:p>
                          <w:p w14:paraId="7AF25397" w14:textId="77777777" w:rsidR="00FE0A4C" w:rsidRPr="00FE0A4C" w:rsidRDefault="00FE0A4C" w:rsidP="00FE0A4C">
                            <w:pPr>
                              <w:spacing w:after="0" w:line="240" w:lineRule="auto"/>
                              <w:jc w:val="right"/>
                              <w:rPr>
                                <w:rFonts w:ascii="Prompt" w:hAnsi="Prompt" w:cs="Prompt"/>
                                <w:color w:val="FFFFFF" w:themeColor="background1"/>
                                <w:sz w:val="20"/>
                                <w:szCs w:val="24"/>
                                <w:u w:val="single"/>
                              </w:rPr>
                            </w:pPr>
                            <w:r w:rsidRPr="00FE0A4C">
                              <w:rPr>
                                <w:rFonts w:ascii="Prompt" w:hAnsi="Prompt" w:cs="Prompt"/>
                                <w:color w:val="FFFFFF" w:themeColor="background1"/>
                                <w:sz w:val="20"/>
                                <w:szCs w:val="24"/>
                                <w:u w:val="single"/>
                              </w:rPr>
                              <w:t xml:space="preserve">https://orcid.org/0000-0001-6417-6089  </w:t>
                            </w:r>
                          </w:p>
                          <w:p w14:paraId="3D7DB6AD" w14:textId="77777777" w:rsidR="00FE0A4C" w:rsidRPr="00FE0A4C" w:rsidRDefault="00FE0A4C" w:rsidP="00FE0A4C">
                            <w:pPr>
                              <w:spacing w:after="0" w:line="240" w:lineRule="auto"/>
                              <w:jc w:val="right"/>
                              <w:rPr>
                                <w:rFonts w:ascii="Prompt" w:hAnsi="Prompt" w:cs="Prompt"/>
                                <w:color w:val="FFFFFF" w:themeColor="background1"/>
                                <w:sz w:val="20"/>
                                <w:szCs w:val="24"/>
                                <w:u w:val="single"/>
                              </w:rPr>
                            </w:pPr>
                            <w:r w:rsidRPr="00FE0A4C">
                              <w:rPr>
                                <w:rFonts w:ascii="Prompt" w:hAnsi="Prompt" w:cs="Prompt"/>
                                <w:color w:val="FFFFFF" w:themeColor="background1"/>
                                <w:sz w:val="20"/>
                                <w:szCs w:val="24"/>
                                <w:u w:val="single"/>
                              </w:rPr>
                              <w:t>gcordovam@ucvvirtual.edu.pe</w:t>
                            </w:r>
                          </w:p>
                          <w:p w14:paraId="15B044FE" w14:textId="1B14F53A" w:rsidR="000529D8" w:rsidRPr="00C36237" w:rsidRDefault="00FE0A4C" w:rsidP="00FE0A4C">
                            <w:pPr>
                              <w:spacing w:after="0" w:line="240" w:lineRule="auto"/>
                              <w:jc w:val="right"/>
                              <w:rPr>
                                <w:rFonts w:ascii="Prompt" w:hAnsi="Prompt" w:cs="Prompt"/>
                                <w:color w:val="63AEBD"/>
                                <w:sz w:val="20"/>
                                <w:szCs w:val="24"/>
                              </w:rPr>
                            </w:pPr>
                            <w:r w:rsidRPr="00FE0A4C">
                              <w:rPr>
                                <w:rFonts w:ascii="Prompt" w:hAnsi="Prompt" w:cs="Prompt"/>
                                <w:color w:val="63AEBD"/>
                                <w:sz w:val="20"/>
                                <w:szCs w:val="24"/>
                              </w:rPr>
                              <w:t>Universidad C</w:t>
                            </w:r>
                            <w:r>
                              <w:rPr>
                                <w:rFonts w:ascii="Prompt" w:hAnsi="Prompt" w:cs="Prompt"/>
                                <w:color w:val="63AEBD"/>
                                <w:sz w:val="20"/>
                                <w:szCs w:val="24"/>
                              </w:rPr>
                              <w:t>é</w:t>
                            </w:r>
                            <w:r w:rsidRPr="00FE0A4C">
                              <w:rPr>
                                <w:rFonts w:ascii="Prompt" w:hAnsi="Prompt" w:cs="Prompt"/>
                                <w:color w:val="63AEBD"/>
                                <w:sz w:val="20"/>
                                <w:szCs w:val="24"/>
                              </w:rPr>
                              <w:t>sar Vallejo</w:t>
                            </w:r>
                            <w:r>
                              <w:rPr>
                                <w:rFonts w:ascii="Prompt" w:hAnsi="Prompt" w:cs="Prompt"/>
                                <w:color w:val="63AEBD"/>
                                <w:sz w:val="20"/>
                                <w:szCs w:val="24"/>
                              </w:rPr>
                              <w:t xml:space="preserve">. </w:t>
                            </w:r>
                            <w:r w:rsidRPr="00FE0A4C">
                              <w:rPr>
                                <w:rFonts w:ascii="Prompt" w:hAnsi="Prompt" w:cs="Prompt"/>
                                <w:color w:val="63AEBD"/>
                                <w:sz w:val="20"/>
                                <w:szCs w:val="24"/>
                              </w:rPr>
                              <w:t xml:space="preserve">Lima </w:t>
                            </w:r>
                            <w:r>
                              <w:rPr>
                                <w:rFonts w:ascii="Prompt" w:hAnsi="Prompt" w:cs="Prompt"/>
                                <w:color w:val="63AEBD"/>
                                <w:sz w:val="20"/>
                                <w:szCs w:val="24"/>
                              </w:rPr>
                              <w:t>–</w:t>
                            </w:r>
                            <w:r w:rsidRPr="00FE0A4C">
                              <w:rPr>
                                <w:rFonts w:ascii="Prompt" w:hAnsi="Prompt" w:cs="Prompt"/>
                                <w:color w:val="63AEBD"/>
                                <w:sz w:val="20"/>
                                <w:szCs w:val="24"/>
                              </w:rPr>
                              <w:t xml:space="preserve"> Perú</w:t>
                            </w:r>
                            <w:r>
                              <w:rPr>
                                <w:rFonts w:ascii="Prompt" w:hAnsi="Prompt" w:cs="Prompt"/>
                                <w:color w:val="63AEBD"/>
                                <w:sz w:val="20"/>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7B2DC1" id="_x0000_t202" coordsize="21600,21600" o:spt="202" path="m,l,21600r21600,l21600,xe">
                <v:stroke joinstyle="miter"/>
                <v:path gradientshapeok="t" o:connecttype="rect"/>
              </v:shapetype>
              <v:shape id="Cuadro de texto 5" o:spid="_x0000_s1026" type="#_x0000_t202" style="position:absolute;left:0;text-align:left;margin-left:175.3pt;margin-top:120.1pt;width:299pt;height:2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" filled="f" stroked="f">
                <v:textbox>
                  <w:txbxContent>
                    <w:p w14:paraId="2D0AE2E0" w14:textId="3EE45180" w:rsidR="00C36237" w:rsidRDefault="00C36237" w:rsidP="00C36237">
                      <w:pPr>
                        <w:spacing w:after="0" w:line="240" w:lineRule="auto"/>
                        <w:jc w:val="right"/>
                        <w:rPr>
                          <w:rFonts w:ascii="Prompt" w:hAnsi="Prompt" w:cs="Prompt"/>
                          <w:color w:val="63AEBD"/>
                          <w:sz w:val="20"/>
                          <w:szCs w:val="24"/>
                        </w:rPr>
                      </w:pPr>
                    </w:p>
                    <w:p w14:paraId="58176348" w14:textId="14489B73" w:rsidR="00FE0A4C" w:rsidRDefault="00FE0A4C" w:rsidP="00C36237">
                      <w:pPr>
                        <w:spacing w:after="0" w:line="240" w:lineRule="auto"/>
                        <w:jc w:val="right"/>
                        <w:rPr>
                          <w:rFonts w:ascii="Prompt" w:hAnsi="Prompt" w:cs="Prompt"/>
                          <w:color w:val="63AEBD"/>
                          <w:sz w:val="20"/>
                          <w:szCs w:val="24"/>
                        </w:rPr>
                      </w:pPr>
                    </w:p>
                    <w:p w14:paraId="40803988" w14:textId="122BFD70" w:rsidR="00FE0A4C" w:rsidRDefault="00FE0A4C" w:rsidP="00C36237">
                      <w:pPr>
                        <w:spacing w:after="0" w:line="240" w:lineRule="auto"/>
                        <w:jc w:val="right"/>
                        <w:rPr>
                          <w:rFonts w:ascii="Prompt" w:hAnsi="Prompt" w:cs="Prompt"/>
                          <w:color w:val="63AEBD"/>
                          <w:sz w:val="20"/>
                          <w:szCs w:val="24"/>
                        </w:rPr>
                      </w:pPr>
                    </w:p>
                    <w:p w14:paraId="3CA65BCC" w14:textId="77777777" w:rsidR="00FE0A4C" w:rsidRDefault="00FE0A4C" w:rsidP="00C36237">
                      <w:pPr>
                        <w:spacing w:after="0" w:line="240" w:lineRule="auto"/>
                        <w:jc w:val="right"/>
                        <w:rPr>
                          <w:rFonts w:ascii="Prompt" w:hAnsi="Prompt" w:cs="Prompt"/>
                          <w:color w:val="63AEBD"/>
                          <w:sz w:val="20"/>
                          <w:szCs w:val="24"/>
                        </w:rPr>
                      </w:pPr>
                    </w:p>
                    <w:p w14:paraId="15AE6B71" w14:textId="77777777" w:rsidR="00C36237" w:rsidRDefault="00C36237" w:rsidP="00C36237">
                      <w:pPr>
                        <w:spacing w:after="0" w:line="240" w:lineRule="auto"/>
                        <w:jc w:val="right"/>
                        <w:rPr>
                          <w:rFonts w:ascii="Prompt" w:hAnsi="Prompt" w:cs="Prompt"/>
                          <w:color w:val="63AEBD"/>
                          <w:sz w:val="20"/>
                          <w:szCs w:val="24"/>
                        </w:rPr>
                      </w:pPr>
                    </w:p>
                    <w:p w14:paraId="11335FE3" w14:textId="77777777" w:rsidR="00FE0A4C" w:rsidRPr="00FE0A4C" w:rsidRDefault="00FE0A4C" w:rsidP="00FE0A4C">
                      <w:pPr>
                        <w:spacing w:after="0" w:line="240" w:lineRule="auto"/>
                        <w:jc w:val="right"/>
                        <w:rPr>
                          <w:rFonts w:ascii="Prompt" w:hAnsi="Prompt" w:cs="Prompt"/>
                          <w:color w:val="63AEBD"/>
                          <w:sz w:val="20"/>
                          <w:szCs w:val="24"/>
                        </w:rPr>
                      </w:pPr>
                      <w:r w:rsidRPr="00FE0A4C">
                        <w:rPr>
                          <w:rFonts w:ascii="Prompt" w:hAnsi="Prompt" w:cs="Prompt"/>
                          <w:color w:val="63AEBD"/>
                          <w:sz w:val="20"/>
                          <w:szCs w:val="24"/>
                        </w:rPr>
                        <w:t>Gustavo Carlos Cordova Morillo</w:t>
                      </w:r>
                    </w:p>
                    <w:p w14:paraId="7AF25397" w14:textId="77777777" w:rsidR="00FE0A4C" w:rsidRPr="00FE0A4C" w:rsidRDefault="00FE0A4C" w:rsidP="00FE0A4C">
                      <w:pPr>
                        <w:spacing w:after="0" w:line="240" w:lineRule="auto"/>
                        <w:jc w:val="right"/>
                        <w:rPr>
                          <w:rFonts w:ascii="Prompt" w:hAnsi="Prompt" w:cs="Prompt"/>
                          <w:color w:val="FFFFFF" w:themeColor="background1"/>
                          <w:sz w:val="20"/>
                          <w:szCs w:val="24"/>
                          <w:u w:val="single"/>
                        </w:rPr>
                      </w:pPr>
                      <w:r w:rsidRPr="00FE0A4C">
                        <w:rPr>
                          <w:rFonts w:ascii="Prompt" w:hAnsi="Prompt" w:cs="Prompt"/>
                          <w:color w:val="FFFFFF" w:themeColor="background1"/>
                          <w:sz w:val="20"/>
                          <w:szCs w:val="24"/>
                          <w:u w:val="single"/>
                        </w:rPr>
                        <w:t xml:space="preserve">https://orcid.org/0000-0001-6417-6089  </w:t>
                      </w:r>
                    </w:p>
                    <w:p w14:paraId="3D7DB6AD" w14:textId="77777777" w:rsidR="00FE0A4C" w:rsidRPr="00FE0A4C" w:rsidRDefault="00FE0A4C" w:rsidP="00FE0A4C">
                      <w:pPr>
                        <w:spacing w:after="0" w:line="240" w:lineRule="auto"/>
                        <w:jc w:val="right"/>
                        <w:rPr>
                          <w:rFonts w:ascii="Prompt" w:hAnsi="Prompt" w:cs="Prompt"/>
                          <w:color w:val="FFFFFF" w:themeColor="background1"/>
                          <w:sz w:val="20"/>
                          <w:szCs w:val="24"/>
                          <w:u w:val="single"/>
                        </w:rPr>
                      </w:pPr>
                      <w:r w:rsidRPr="00FE0A4C">
                        <w:rPr>
                          <w:rFonts w:ascii="Prompt" w:hAnsi="Prompt" w:cs="Prompt"/>
                          <w:color w:val="FFFFFF" w:themeColor="background1"/>
                          <w:sz w:val="20"/>
                          <w:szCs w:val="24"/>
                          <w:u w:val="single"/>
                        </w:rPr>
                        <w:t>gcordovam@ucvvirtual.edu.pe</w:t>
                      </w:r>
                    </w:p>
                    <w:p w14:paraId="15B044FE" w14:textId="1B14F53A" w:rsidR="000529D8" w:rsidRPr="00C36237" w:rsidRDefault="00FE0A4C" w:rsidP="00FE0A4C">
                      <w:pPr>
                        <w:spacing w:after="0" w:line="240" w:lineRule="auto"/>
                        <w:jc w:val="right"/>
                        <w:rPr>
                          <w:rFonts w:ascii="Prompt" w:hAnsi="Prompt" w:cs="Prompt"/>
                          <w:color w:val="63AEBD"/>
                          <w:sz w:val="20"/>
                          <w:szCs w:val="24"/>
                        </w:rPr>
                      </w:pPr>
                      <w:r w:rsidRPr="00FE0A4C">
                        <w:rPr>
                          <w:rFonts w:ascii="Prompt" w:hAnsi="Prompt" w:cs="Prompt"/>
                          <w:color w:val="63AEBD"/>
                          <w:sz w:val="20"/>
                          <w:szCs w:val="24"/>
                        </w:rPr>
                        <w:t>Universidad C</w:t>
                      </w:r>
                      <w:r>
                        <w:rPr>
                          <w:rFonts w:ascii="Prompt" w:hAnsi="Prompt" w:cs="Prompt"/>
                          <w:color w:val="63AEBD"/>
                          <w:sz w:val="20"/>
                          <w:szCs w:val="24"/>
                        </w:rPr>
                        <w:t>é</w:t>
                      </w:r>
                      <w:r w:rsidRPr="00FE0A4C">
                        <w:rPr>
                          <w:rFonts w:ascii="Prompt" w:hAnsi="Prompt" w:cs="Prompt"/>
                          <w:color w:val="63AEBD"/>
                          <w:sz w:val="20"/>
                          <w:szCs w:val="24"/>
                        </w:rPr>
                        <w:t>sar Vallejo</w:t>
                      </w:r>
                      <w:r>
                        <w:rPr>
                          <w:rFonts w:ascii="Prompt" w:hAnsi="Prompt" w:cs="Prompt"/>
                          <w:color w:val="63AEBD"/>
                          <w:sz w:val="20"/>
                          <w:szCs w:val="24"/>
                        </w:rPr>
                        <w:t xml:space="preserve">. </w:t>
                      </w:r>
                      <w:r w:rsidRPr="00FE0A4C">
                        <w:rPr>
                          <w:rFonts w:ascii="Prompt" w:hAnsi="Prompt" w:cs="Prompt"/>
                          <w:color w:val="63AEBD"/>
                          <w:sz w:val="20"/>
                          <w:szCs w:val="24"/>
                        </w:rPr>
                        <w:t xml:space="preserve">Lima </w:t>
                      </w:r>
                      <w:r>
                        <w:rPr>
                          <w:rFonts w:ascii="Prompt" w:hAnsi="Prompt" w:cs="Prompt"/>
                          <w:color w:val="63AEBD"/>
                          <w:sz w:val="20"/>
                          <w:szCs w:val="24"/>
                        </w:rPr>
                        <w:t>–</w:t>
                      </w:r>
                      <w:r w:rsidRPr="00FE0A4C">
                        <w:rPr>
                          <w:rFonts w:ascii="Prompt" w:hAnsi="Prompt" w:cs="Prompt"/>
                          <w:color w:val="63AEBD"/>
                          <w:sz w:val="20"/>
                          <w:szCs w:val="24"/>
                        </w:rPr>
                        <w:t xml:space="preserve"> Perú</w:t>
                      </w:r>
                      <w:r>
                        <w:rPr>
                          <w:rFonts w:ascii="Prompt" w:hAnsi="Prompt" w:cs="Prompt"/>
                          <w:color w:val="63AEBD"/>
                          <w:sz w:val="20"/>
                          <w:szCs w:val="24"/>
                        </w:rPr>
                        <w:t>.</w:t>
                      </w:r>
                    </w:p>
                  </w:txbxContent>
                </v:textbox>
                <w10:wrap type="square"/>
              </v:shape>
            </w:pict>
          </mc:Fallback>
        </mc:AlternateContent>
      </w:r>
      <w:r w:rsidR="00A17E32" w:rsidRPr="00B07D2E">
        <w:rPr>
          <w:noProof/>
        </w:rPr>
        <mc:AlternateContent>
          <mc:Choice Requires="wps">
            <w:drawing>
              <wp:anchor distT="45720" distB="45720" distL="114300" distR="114300" simplePos="0" relativeHeight="251660288" behindDoc="0" locked="0" layoutInCell="1" allowOverlap="1" wp14:anchorId="751F694E" wp14:editId="5117C474">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6DC67428" w14:textId="77777777"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 xml:space="preserve">2025. V5. N </w:t>
                            </w:r>
                            <w:r w:rsidR="00B1415C" w:rsidRPr="002D2ADB">
                              <w:rPr>
                                <w:rFonts w:ascii="Poppins Black" w:hAnsi="Poppins Black" w:cs="Poppins Black"/>
                                <w:color w:val="FFFFFF"/>
                                <w:sz w:val="18"/>
                                <w:szCs w:val="18"/>
                              </w:rPr>
                              <w:t>4</w:t>
                            </w: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1F694E" id="Cuadro de texto 19" o:spid="_x0000_s1027"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" filled="f" stroked="f">
                <v:textbox>
                  <w:txbxContent>
                    <w:p w14:paraId="6DC67428" w14:textId="77777777"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 xml:space="preserve">2025. V5. N </w:t>
                      </w:r>
                      <w:r w:rsidR="00B1415C" w:rsidRPr="002D2ADB">
                        <w:rPr>
                          <w:rFonts w:ascii="Poppins Black" w:hAnsi="Poppins Black" w:cs="Poppins Black"/>
                          <w:color w:val="FFFFFF"/>
                          <w:sz w:val="18"/>
                          <w:szCs w:val="18"/>
                        </w:rPr>
                        <w:t>4</w:t>
                      </w:r>
                      <w:r w:rsidRPr="002D2ADB">
                        <w:rPr>
                          <w:rFonts w:ascii="Poppins Black" w:hAnsi="Poppins Black" w:cs="Poppins Black"/>
                          <w:color w:val="FFFFFF"/>
                          <w:sz w:val="18"/>
                          <w:szCs w:val="18"/>
                        </w:rPr>
                        <w:t>.</w:t>
                      </w:r>
                    </w:p>
                  </w:txbxContent>
                </v:textbox>
                <w10:wrap type="square"/>
              </v:shape>
            </w:pict>
          </mc:Fallback>
        </mc:AlternateContent>
      </w:r>
      <w:r w:rsidR="00A17E32" w:rsidRPr="00B07D2E">
        <w:rPr>
          <w:noProof/>
        </w:rPr>
        <w:drawing>
          <wp:anchor distT="0" distB="0" distL="114300" distR="114300" simplePos="0" relativeHeight="251661312" behindDoc="1" locked="0" layoutInCell="1" allowOverlap="1" wp14:anchorId="17D87E5E" wp14:editId="6774A906">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B07D2E">
        <w:rPr>
          <w:noProof/>
        </w:rPr>
        <mc:AlternateContent>
          <mc:Choice Requires="wps">
            <w:drawing>
              <wp:anchor distT="0" distB="0" distL="114300" distR="114300" simplePos="0" relativeHeight="251654144" behindDoc="0" locked="0" layoutInCell="1" allowOverlap="1" wp14:anchorId="018532F6" wp14:editId="6E00AA6E">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540928"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B07D2E">
        <w:rPr>
          <w:noProof/>
        </w:rPr>
        <mc:AlternateContent>
          <mc:Choice Requires="wps">
            <w:drawing>
              <wp:anchor distT="45720" distB="45720" distL="114300" distR="114300" simplePos="0" relativeHeight="251657216" behindDoc="0" locked="0" layoutInCell="1" allowOverlap="1" wp14:anchorId="2A973E77" wp14:editId="07442E08">
                <wp:simplePos x="0" y="0"/>
                <wp:positionH relativeFrom="column">
                  <wp:posOffset>202565</wp:posOffset>
                </wp:positionH>
                <wp:positionV relativeFrom="paragraph">
                  <wp:posOffset>5306695</wp:posOffset>
                </wp:positionV>
                <wp:extent cx="278130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330200"/>
                        </a:xfrm>
                        <a:prstGeom prst="rect">
                          <a:avLst/>
                        </a:prstGeom>
                        <a:noFill/>
                        <a:ln w="9525">
                          <a:noFill/>
                          <a:miter lim="800000"/>
                          <a:headEnd/>
                          <a:tailEnd/>
                        </a:ln>
                      </wps:spPr>
                      <wps:txbx>
                        <w:txbxContent>
                          <w:p w14:paraId="025DE1E0" w14:textId="63949BFE" w:rsidR="00802B39" w:rsidRPr="002D2ADB" w:rsidRDefault="00802B39">
                            <w:pPr>
                              <w:rPr>
                                <w:rFonts w:ascii="Poppins Black" w:hAnsi="Poppins Black" w:cs="Poppins Black"/>
                                <w:color w:val="FFFFFF"/>
                                <w:sz w:val="18"/>
                                <w:szCs w:val="18"/>
                              </w:rPr>
                            </w:pPr>
                            <w:r w:rsidRPr="00B07D2E">
                              <w:rPr>
                                <w:rFonts w:ascii="Poppins Black" w:hAnsi="Poppins Black" w:cs="Poppins Black"/>
                                <w:color w:val="FFFFFF"/>
                                <w:sz w:val="18"/>
                                <w:szCs w:val="18"/>
                              </w:rPr>
                              <w:t>Reci</w:t>
                            </w:r>
                            <w:r w:rsidR="00111DD2" w:rsidRPr="00B07D2E">
                              <w:rPr>
                                <w:rFonts w:ascii="Poppins Black" w:hAnsi="Poppins Black" w:cs="Poppins Black"/>
                                <w:color w:val="FFFFFF"/>
                                <w:sz w:val="18"/>
                                <w:szCs w:val="18"/>
                              </w:rPr>
                              <w:t xml:space="preserve">bido: </w:t>
                            </w:r>
                            <w:r w:rsidR="00B07D2E">
                              <w:rPr>
                                <w:rFonts w:ascii="Poppins Black" w:hAnsi="Poppins Black" w:cs="Poppins Black"/>
                                <w:color w:val="FFFFFF"/>
                                <w:sz w:val="18"/>
                                <w:szCs w:val="18"/>
                              </w:rPr>
                              <w:t xml:space="preserve"> 22/10/2024  </w:t>
                            </w:r>
                            <w:r w:rsidR="00111DD2" w:rsidRPr="00B07D2E">
                              <w:rPr>
                                <w:rFonts w:ascii="Poppins Black" w:hAnsi="Poppins Black" w:cs="Poppins Black"/>
                                <w:color w:val="FFFFFF"/>
                                <w:sz w:val="18"/>
                                <w:szCs w:val="18"/>
                              </w:rPr>
                              <w:t xml:space="preserve">  Aceptado:</w:t>
                            </w:r>
                            <w:r w:rsidR="00B07D2E">
                              <w:rPr>
                                <w:rFonts w:ascii="Poppins Black" w:hAnsi="Poppins Black" w:cs="Poppins Black"/>
                                <w:color w:val="FFFFFF"/>
                                <w:sz w:val="18"/>
                                <w:szCs w:val="18"/>
                              </w:rPr>
                              <w:t xml:space="preserve"> 06/01/2025</w:t>
                            </w:r>
                            <w:r w:rsidR="00111DD2" w:rsidRPr="002D2ADB">
                              <w:rPr>
                                <w:rFonts w:ascii="Poppins Black" w:hAnsi="Poppins Black" w:cs="Poppins Black"/>
                                <w:color w:val="FFFFFF"/>
                                <w:sz w:val="18"/>
                                <w:szCs w:val="1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973E77" id="Cuadro de texto 13" o:spid="_x0000_s1028" type="#_x0000_t202" style="position:absolute;left:0;text-align:left;margin-left:15.95pt;margin-top:417.85pt;width:219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" filled="f" stroked="f">
                <v:textbox>
                  <w:txbxContent>
                    <w:p w14:paraId="025DE1E0" w14:textId="63949BFE" w:rsidR="00802B39" w:rsidRPr="002D2ADB" w:rsidRDefault="00802B39">
                      <w:pPr>
                        <w:rPr>
                          <w:rFonts w:ascii="Poppins Black" w:hAnsi="Poppins Black" w:cs="Poppins Black"/>
                          <w:color w:val="FFFFFF"/>
                          <w:sz w:val="18"/>
                          <w:szCs w:val="18"/>
                        </w:rPr>
                      </w:pPr>
                      <w:r w:rsidRPr="00B07D2E">
                        <w:rPr>
                          <w:rFonts w:ascii="Poppins Black" w:hAnsi="Poppins Black" w:cs="Poppins Black"/>
                          <w:color w:val="FFFFFF"/>
                          <w:sz w:val="18"/>
                          <w:szCs w:val="18"/>
                        </w:rPr>
                        <w:t>Reci</w:t>
                      </w:r>
                      <w:r w:rsidR="00111DD2" w:rsidRPr="00B07D2E">
                        <w:rPr>
                          <w:rFonts w:ascii="Poppins Black" w:hAnsi="Poppins Black" w:cs="Poppins Black"/>
                          <w:color w:val="FFFFFF"/>
                          <w:sz w:val="18"/>
                          <w:szCs w:val="18"/>
                        </w:rPr>
                        <w:t xml:space="preserve">bido: </w:t>
                      </w:r>
                      <w:r w:rsidR="00B07D2E">
                        <w:rPr>
                          <w:rFonts w:ascii="Poppins Black" w:hAnsi="Poppins Black" w:cs="Poppins Black"/>
                          <w:color w:val="FFFFFF"/>
                          <w:sz w:val="18"/>
                          <w:szCs w:val="18"/>
                        </w:rPr>
                        <w:t xml:space="preserve"> 22/10/2024  </w:t>
                      </w:r>
                      <w:r w:rsidR="00111DD2" w:rsidRPr="00B07D2E">
                        <w:rPr>
                          <w:rFonts w:ascii="Poppins Black" w:hAnsi="Poppins Black" w:cs="Poppins Black"/>
                          <w:color w:val="FFFFFF"/>
                          <w:sz w:val="18"/>
                          <w:szCs w:val="18"/>
                        </w:rPr>
                        <w:t xml:space="preserve">  Aceptado:</w:t>
                      </w:r>
                      <w:r w:rsidR="00B07D2E">
                        <w:rPr>
                          <w:rFonts w:ascii="Poppins Black" w:hAnsi="Poppins Black" w:cs="Poppins Black"/>
                          <w:color w:val="FFFFFF"/>
                          <w:sz w:val="18"/>
                          <w:szCs w:val="18"/>
                        </w:rPr>
                        <w:t xml:space="preserve"> 06/01/2025</w:t>
                      </w:r>
                      <w:r w:rsidR="00111DD2" w:rsidRPr="002D2ADB">
                        <w:rPr>
                          <w:rFonts w:ascii="Poppins Black" w:hAnsi="Poppins Black" w:cs="Poppins Black"/>
                          <w:color w:val="FFFFFF"/>
                          <w:sz w:val="18"/>
                          <w:szCs w:val="18"/>
                        </w:rPr>
                        <w:t xml:space="preserve"> </w:t>
                      </w:r>
                    </w:p>
                  </w:txbxContent>
                </v:textbox>
                <w10:wrap type="square"/>
              </v:shape>
            </w:pict>
          </mc:Fallback>
        </mc:AlternateContent>
      </w:r>
      <w:r w:rsidR="00A17E32" w:rsidRPr="00B07D2E">
        <w:rPr>
          <w:noProof/>
        </w:rPr>
        <mc:AlternateContent>
          <mc:Choice Requires="wpg">
            <w:drawing>
              <wp:anchor distT="0" distB="0" distL="457200" distR="457200" simplePos="0" relativeHeight="251656192" behindDoc="0" locked="0" layoutInCell="1" allowOverlap="1" wp14:anchorId="5DA6915E" wp14:editId="5A23A048">
                <wp:simplePos x="0" y="0"/>
                <wp:positionH relativeFrom="page">
                  <wp:posOffset>393700</wp:posOffset>
                </wp:positionH>
                <wp:positionV relativeFrom="page">
                  <wp:posOffset>12700</wp:posOffset>
                </wp:positionV>
                <wp:extent cx="6504940" cy="6705600"/>
                <wp:effectExtent l="0" t="0" r="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4940" cy="6705600"/>
                          <a:chOff x="227566" y="0"/>
                          <a:chExt cx="9903112"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8912801" cy="2292684"/>
                          </a:xfrm>
                          <a:prstGeom prst="rect">
                            <a:avLst/>
                          </a:prstGeom>
                          <a:noFill/>
                          <a:ln w="6350">
                            <a:noFill/>
                          </a:ln>
                          <a:effectLst/>
                        </wps:spPr>
                        <wps:txbx>
                          <w:txbxContent>
                            <w:p w14:paraId="4F4B7794" w14:textId="5811345F" w:rsidR="00FE0A4C" w:rsidRPr="00FE0A4C" w:rsidRDefault="00FE0A4C" w:rsidP="00C36237">
                              <w:pPr>
                                <w:spacing w:after="0" w:line="240" w:lineRule="auto"/>
                                <w:rPr>
                                  <w:rFonts w:ascii="Poppins Black" w:hAnsi="Poppins Black" w:cs="Poppins Black"/>
                                  <w:color w:val="DEEAF6"/>
                                  <w:sz w:val="48"/>
                                  <w:szCs w:val="36"/>
                                </w:rPr>
                              </w:pPr>
                              <w:r w:rsidRPr="00FE0A4C">
                                <w:rPr>
                                  <w:rFonts w:ascii="Poppins Black" w:hAnsi="Poppins Black" w:cs="Poppins Black"/>
                                  <w:color w:val="DEEAF6"/>
                                  <w:sz w:val="48"/>
                                  <w:szCs w:val="36"/>
                                </w:rPr>
                                <w:t>Feminicidio: análisis crítico de su sobredimensión en el derecho penal</w:t>
                              </w:r>
                            </w:p>
                            <w:p w14:paraId="64902F3C" w14:textId="573FEF42" w:rsidR="00802B39" w:rsidRPr="00FE0A4C" w:rsidRDefault="00FE0A4C" w:rsidP="00FE0A4C">
                              <w:pPr>
                                <w:spacing w:after="0" w:line="240" w:lineRule="auto"/>
                                <w:rPr>
                                  <w:rFonts w:ascii="Poppins Black" w:hAnsi="Poppins Black" w:cs="Poppins Black"/>
                                  <w:color w:val="DEEAF6"/>
                                  <w:sz w:val="28"/>
                                  <w:szCs w:val="28"/>
                                  <w:lang w:val="en-US"/>
                                </w:rPr>
                              </w:pPr>
                              <w:r w:rsidRPr="00FE0A4C">
                                <w:rPr>
                                  <w:rFonts w:ascii="Poppins Black" w:hAnsi="Poppins Black" w:cs="Poppins Black"/>
                                  <w:color w:val="DEEAF6"/>
                                  <w:sz w:val="28"/>
                                  <w:szCs w:val="28"/>
                                  <w:lang w:val="en-US"/>
                                </w:rPr>
                                <w:t>Femicide: critical analysis of its oversize in criminal law</w:t>
                              </w:r>
                            </w:p>
                            <w:p w14:paraId="08592E24" w14:textId="77777777" w:rsidR="00FE0A4C" w:rsidRPr="002D2ADB" w:rsidRDefault="00FE0A4C" w:rsidP="00FE0A4C">
                              <w:pPr>
                                <w:spacing w:after="0" w:line="240" w:lineRule="auto"/>
                                <w:rPr>
                                  <w:rFonts w:ascii="Poppins Black" w:hAnsi="Poppins Black" w:cs="Poppins Black"/>
                                  <w:color w:val="DEEAF6"/>
                                  <w:sz w:val="44"/>
                                  <w:szCs w:val="44"/>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5DA6915E" id="Grupo 11" o:spid="_x0000_s1029" style="position:absolute;left:0;text-align:left;margin-left:31pt;margin-top:1pt;width:512.2pt;height:528pt;z-index:251656192;mso-wrap-distance-left:36pt;mso-wrap-distance-right:36pt;mso-position-horizontal-relative:page;mso-position-vertical-relative:page;mso-width-relative:margin" coordorigin="2275" coordsize="99031,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">
                <v:shape id="Rectángulo 5" o:spid="_x0000_s1030"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31" type="#_x0000_t202" style="position:absolute;left:12178;top:5688;width:89128;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14:paraId="4F4B7794" w14:textId="5811345F" w:rsidR="00FE0A4C" w:rsidRPr="00FE0A4C" w:rsidRDefault="00FE0A4C" w:rsidP="00C36237">
                        <w:pPr>
                          <w:spacing w:after="0" w:line="240" w:lineRule="auto"/>
                          <w:rPr>
                            <w:rFonts w:ascii="Poppins Black" w:hAnsi="Poppins Black" w:cs="Poppins Black"/>
                            <w:color w:val="DEEAF6"/>
                            <w:sz w:val="48"/>
                            <w:szCs w:val="36"/>
                          </w:rPr>
                        </w:pPr>
                        <w:r w:rsidRPr="00FE0A4C">
                          <w:rPr>
                            <w:rFonts w:ascii="Poppins Black" w:hAnsi="Poppins Black" w:cs="Poppins Black"/>
                            <w:color w:val="DEEAF6"/>
                            <w:sz w:val="48"/>
                            <w:szCs w:val="36"/>
                          </w:rPr>
                          <w:t>Feminicidio: análisis crítico de su sobredimensión en el derecho penal</w:t>
                        </w:r>
                      </w:p>
                      <w:p w14:paraId="64902F3C" w14:textId="573FEF42" w:rsidR="00802B39" w:rsidRPr="00FE0A4C" w:rsidRDefault="00FE0A4C" w:rsidP="00FE0A4C">
                        <w:pPr>
                          <w:spacing w:after="0" w:line="240" w:lineRule="auto"/>
                          <w:rPr>
                            <w:rFonts w:ascii="Poppins Black" w:hAnsi="Poppins Black" w:cs="Poppins Black"/>
                            <w:color w:val="DEEAF6"/>
                            <w:sz w:val="28"/>
                            <w:szCs w:val="28"/>
                            <w:lang w:val="en-US"/>
                          </w:rPr>
                        </w:pPr>
                        <w:r w:rsidRPr="00FE0A4C">
                          <w:rPr>
                            <w:rFonts w:ascii="Poppins Black" w:hAnsi="Poppins Black" w:cs="Poppins Black"/>
                            <w:color w:val="DEEAF6"/>
                            <w:sz w:val="28"/>
                            <w:szCs w:val="28"/>
                            <w:lang w:val="en-US"/>
                          </w:rPr>
                          <w:t>Femicide: critical analysis of its oversize in criminal law</w:t>
                        </w:r>
                      </w:p>
                      <w:p w14:paraId="08592E24" w14:textId="77777777" w:rsidR="00FE0A4C" w:rsidRPr="002D2ADB" w:rsidRDefault="00FE0A4C" w:rsidP="00FE0A4C">
                        <w:pPr>
                          <w:spacing w:after="0" w:line="240" w:lineRule="auto"/>
                          <w:rPr>
                            <w:rFonts w:ascii="Poppins Black" w:hAnsi="Poppins Black" w:cs="Poppins Black"/>
                            <w:color w:val="DEEAF6"/>
                            <w:sz w:val="44"/>
                            <w:szCs w:val="44"/>
                            <w:lang w:val="en-US"/>
                          </w:rPr>
                        </w:pPr>
                      </w:p>
                    </w:txbxContent>
                  </v:textbox>
                </v:shape>
                <w10:wrap type="square" anchorx="page" anchory="page"/>
              </v:group>
            </w:pict>
          </mc:Fallback>
        </mc:AlternateContent>
      </w:r>
      <w:r w:rsidR="00A17E32" w:rsidRPr="00B07D2E">
        <w:rPr>
          <w:noProof/>
        </w:rPr>
        <mc:AlternateContent>
          <mc:Choice Requires="wps">
            <w:drawing>
              <wp:anchor distT="0" distB="0" distL="114300" distR="114300" simplePos="0" relativeHeight="251655168" behindDoc="0" locked="0" layoutInCell="1" allowOverlap="1" wp14:anchorId="23C8E1E5" wp14:editId="6C8ECBB5">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8046D2"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p>
    <w:p w14:paraId="0D8E3739" w14:textId="77777777" w:rsidR="00DE6601" w:rsidRPr="00B07D2E" w:rsidRDefault="00DE6601" w:rsidP="00E271E2">
      <w:pPr>
        <w:spacing w:after="0" w:line="240" w:lineRule="auto"/>
        <w:jc w:val="both"/>
        <w:rPr>
          <w:rFonts w:ascii="Arial" w:hAnsi="Arial" w:cs="Arial"/>
          <w:b/>
          <w:bCs/>
        </w:rPr>
      </w:pPr>
      <w:r w:rsidRPr="00B07D2E">
        <w:rPr>
          <w:rFonts w:ascii="Arial" w:hAnsi="Arial" w:cs="Arial"/>
          <w:b/>
          <w:bCs/>
        </w:rPr>
        <w:t>Resumen</w:t>
      </w:r>
    </w:p>
    <w:p w14:paraId="48B32A2C" w14:textId="01F1955E" w:rsidR="0037664A" w:rsidRPr="00B07D2E" w:rsidRDefault="00FE0A4C" w:rsidP="00E271E2">
      <w:pPr>
        <w:spacing w:after="0" w:line="240" w:lineRule="auto"/>
        <w:jc w:val="both"/>
        <w:rPr>
          <w:rFonts w:ascii="Arial" w:hAnsi="Arial" w:cs="Arial"/>
          <w:sz w:val="20"/>
          <w:szCs w:val="20"/>
        </w:rPr>
      </w:pPr>
      <w:r w:rsidRPr="00B07D2E">
        <w:rPr>
          <w:rFonts w:ascii="Arial" w:hAnsi="Arial" w:cs="Arial"/>
          <w:sz w:val="20"/>
          <w:szCs w:val="20"/>
        </w:rPr>
        <w:t>El propósito central de este estudio fue examinar los criterios utilizados por los jueces para establecer si un asesinato de una mujer debe considerarse un feminicidio, con el fin de precisar los límites de este delito. La investigación adoptó un enfoque básico, utilizando la técnica de revisión sistemática de documentos como método. Los hallazgos revelaron que los jueces consideran varios elementos al clasificar un asesinato como feminicidio, tales como la existencia de violencia de género previa hacia la víctima, la relación personal entre el agresor y la víctima, la violencia extrema del crimen y si el asesinato estuvo precedido por otras agresiones. Como conclusión, se estableció que el feminicidio debe entenderse como una forma extrema de violencia de género, que tiene sus raíces en estructuras discriminatorias hacia las mujeres y en una cultura patriarcal. Este análisis resalta la necesidad de una evaluación integral y contextualizada para comprender la dimensión del feminicidio y su distinción de otros tipos de homicidio.</w:t>
      </w:r>
    </w:p>
    <w:p w14:paraId="79A71655" w14:textId="77777777" w:rsidR="00FE0A4C" w:rsidRPr="00B07D2E" w:rsidRDefault="00FE0A4C" w:rsidP="00E271E2">
      <w:pPr>
        <w:spacing w:after="0" w:line="240" w:lineRule="auto"/>
        <w:jc w:val="both"/>
        <w:rPr>
          <w:rFonts w:ascii="Arial" w:hAnsi="Arial" w:cs="Arial"/>
          <w:b/>
          <w:bCs/>
          <w:sz w:val="20"/>
          <w:szCs w:val="20"/>
        </w:rPr>
      </w:pPr>
    </w:p>
    <w:p w14:paraId="1C65B852" w14:textId="6BB361B8" w:rsidR="0037664A" w:rsidRPr="00B07D2E" w:rsidRDefault="00EF28BE" w:rsidP="00E271E2">
      <w:pPr>
        <w:spacing w:after="0" w:line="240" w:lineRule="auto"/>
        <w:jc w:val="both"/>
        <w:rPr>
          <w:rFonts w:ascii="Arial" w:hAnsi="Arial" w:cs="Arial"/>
          <w:sz w:val="20"/>
          <w:szCs w:val="20"/>
        </w:rPr>
      </w:pPr>
      <w:r w:rsidRPr="00B07D2E">
        <w:rPr>
          <w:rFonts w:ascii="Arial" w:hAnsi="Arial" w:cs="Arial"/>
          <w:b/>
          <w:bCs/>
          <w:sz w:val="20"/>
          <w:szCs w:val="20"/>
        </w:rPr>
        <w:t>Palabras clave</w:t>
      </w:r>
      <w:r w:rsidRPr="00B07D2E">
        <w:rPr>
          <w:rFonts w:ascii="Arial" w:hAnsi="Arial" w:cs="Arial"/>
          <w:sz w:val="20"/>
          <w:szCs w:val="20"/>
        </w:rPr>
        <w:t xml:space="preserve">: </w:t>
      </w:r>
      <w:r w:rsidR="00FE0A4C" w:rsidRPr="00B07D2E">
        <w:rPr>
          <w:rFonts w:ascii="Arial" w:hAnsi="Arial" w:cs="Arial"/>
          <w:sz w:val="20"/>
          <w:szCs w:val="20"/>
        </w:rPr>
        <w:t>feminicidio, perspectiva de género, violencia contra las mujeres</w:t>
      </w:r>
      <w:r w:rsidR="00A508CC">
        <w:rPr>
          <w:rFonts w:ascii="Arial" w:hAnsi="Arial" w:cs="Arial"/>
          <w:sz w:val="20"/>
          <w:szCs w:val="20"/>
        </w:rPr>
        <w:t>.</w:t>
      </w:r>
    </w:p>
    <w:p w14:paraId="1128A53C" w14:textId="77777777" w:rsidR="00FE0A4C" w:rsidRPr="00B07D2E" w:rsidRDefault="00FE0A4C" w:rsidP="00E271E2">
      <w:pPr>
        <w:spacing w:after="0" w:line="240" w:lineRule="auto"/>
        <w:jc w:val="both"/>
        <w:rPr>
          <w:rFonts w:ascii="Arial" w:hAnsi="Arial" w:cs="Arial"/>
          <w:sz w:val="20"/>
          <w:szCs w:val="20"/>
        </w:rPr>
      </w:pPr>
    </w:p>
    <w:p w14:paraId="5664D47F" w14:textId="77777777" w:rsidR="0074798F" w:rsidRPr="00B07D2E" w:rsidRDefault="0074798F" w:rsidP="00E271E2">
      <w:pPr>
        <w:spacing w:after="0" w:line="240" w:lineRule="auto"/>
        <w:jc w:val="both"/>
        <w:rPr>
          <w:rFonts w:ascii="Arial" w:hAnsi="Arial" w:cs="Arial"/>
          <w:sz w:val="20"/>
          <w:szCs w:val="20"/>
        </w:rPr>
      </w:pPr>
    </w:p>
    <w:p w14:paraId="055CEF92" w14:textId="77777777" w:rsidR="00EF28BE" w:rsidRPr="00B07D2E" w:rsidRDefault="00EF28BE" w:rsidP="00E271E2">
      <w:pPr>
        <w:spacing w:after="0" w:line="240" w:lineRule="auto"/>
        <w:jc w:val="both"/>
        <w:rPr>
          <w:rFonts w:ascii="Arial" w:hAnsi="Arial" w:cs="Arial"/>
          <w:sz w:val="20"/>
          <w:szCs w:val="20"/>
          <w:lang w:val="en-US"/>
        </w:rPr>
      </w:pPr>
      <w:r w:rsidRPr="00B07D2E">
        <w:rPr>
          <w:rFonts w:ascii="Arial" w:hAnsi="Arial" w:cs="Arial"/>
          <w:b/>
          <w:bCs/>
          <w:lang w:val="en-US"/>
        </w:rPr>
        <w:lastRenderedPageBreak/>
        <w:t>Abstract</w:t>
      </w:r>
    </w:p>
    <w:p w14:paraId="397262E3" w14:textId="4B9F519E" w:rsidR="00F03AC1" w:rsidRPr="00B07D2E" w:rsidRDefault="00FE0A4C" w:rsidP="00E271E2">
      <w:pPr>
        <w:spacing w:after="0" w:line="240" w:lineRule="auto"/>
        <w:jc w:val="both"/>
        <w:rPr>
          <w:rFonts w:ascii="Arial" w:hAnsi="Arial" w:cs="Arial"/>
          <w:sz w:val="20"/>
          <w:szCs w:val="20"/>
          <w:lang w:val="en-US"/>
        </w:rPr>
      </w:pPr>
      <w:r w:rsidRPr="00B07D2E">
        <w:rPr>
          <w:rFonts w:ascii="Arial" w:hAnsi="Arial" w:cs="Arial"/>
          <w:sz w:val="20"/>
          <w:szCs w:val="20"/>
          <w:lang w:val="en-US"/>
        </w:rPr>
        <w:t>The main purpose of this study was to examine the criteria used by judges to determine whether a woman’s murder should be considered a feminicide, in order to clarify the boundaries of this crime. The research adopted a basic approach, using the technique of systematic document review as the method. The findings revealed that judges take several factors into account when classifying a murder as feminicide, such as prior gender-based violence against the victim, the personal relationship between the perpetrator and the victim, the extreme violence of the crime, and whether the murder was preceded by other acts of aggression. In conclusion, it was established that feminicide should be understood as an extreme form of gender-based violence, rooted in structural discrimination against women and in a patriarchal culture. This analysis highlights the need for a comprehensive and contextualized evaluation to understand the scope of feminicide and its distinction from other types of homicide.</w:t>
      </w:r>
    </w:p>
    <w:p w14:paraId="52C9C880" w14:textId="77777777" w:rsidR="00FE0A4C" w:rsidRPr="00B07D2E" w:rsidRDefault="00FE0A4C" w:rsidP="00E271E2">
      <w:pPr>
        <w:spacing w:after="0" w:line="240" w:lineRule="auto"/>
        <w:jc w:val="both"/>
        <w:rPr>
          <w:rFonts w:ascii="Arial" w:hAnsi="Arial" w:cs="Arial"/>
          <w:b/>
          <w:bCs/>
          <w:sz w:val="20"/>
          <w:szCs w:val="20"/>
          <w:lang w:val="en-US"/>
        </w:rPr>
      </w:pPr>
    </w:p>
    <w:p w14:paraId="74487D19" w14:textId="5BB8AF00" w:rsidR="00EF28BE" w:rsidRPr="00B07D2E" w:rsidRDefault="00EF28BE" w:rsidP="00E271E2">
      <w:pPr>
        <w:spacing w:after="0" w:line="240" w:lineRule="auto"/>
        <w:jc w:val="both"/>
        <w:rPr>
          <w:rFonts w:ascii="Arial" w:hAnsi="Arial" w:cs="Arial"/>
          <w:sz w:val="20"/>
          <w:szCs w:val="20"/>
          <w:lang w:val="en-US"/>
        </w:rPr>
      </w:pPr>
      <w:r w:rsidRPr="00B07D2E">
        <w:rPr>
          <w:rFonts w:ascii="Arial" w:hAnsi="Arial" w:cs="Arial"/>
          <w:b/>
          <w:bCs/>
          <w:sz w:val="20"/>
          <w:szCs w:val="20"/>
          <w:lang w:val="en-US"/>
        </w:rPr>
        <w:t>Keywords</w:t>
      </w:r>
      <w:r w:rsidRPr="00B07D2E">
        <w:rPr>
          <w:rFonts w:ascii="Arial" w:hAnsi="Arial" w:cs="Arial"/>
          <w:sz w:val="20"/>
          <w:szCs w:val="20"/>
          <w:lang w:val="en-US"/>
        </w:rPr>
        <w:t xml:space="preserve">: </w:t>
      </w:r>
      <w:r w:rsidR="00FE0A4C" w:rsidRPr="00B07D2E">
        <w:rPr>
          <w:rFonts w:ascii="Arial" w:hAnsi="Arial" w:cs="Arial"/>
          <w:sz w:val="20"/>
          <w:szCs w:val="20"/>
          <w:lang w:val="en-US"/>
        </w:rPr>
        <w:t>feminicide, gender perspective, violence against women</w:t>
      </w:r>
      <w:r w:rsidR="00A508CC">
        <w:rPr>
          <w:rFonts w:ascii="Arial" w:hAnsi="Arial" w:cs="Arial"/>
          <w:sz w:val="20"/>
          <w:szCs w:val="20"/>
          <w:lang w:val="en-US"/>
        </w:rPr>
        <w:t>.</w:t>
      </w:r>
    </w:p>
    <w:p w14:paraId="1BF411BC" w14:textId="77777777" w:rsidR="00EF28BE" w:rsidRPr="00B07D2E" w:rsidRDefault="00EF28BE" w:rsidP="00E271E2">
      <w:pPr>
        <w:spacing w:after="0" w:line="240" w:lineRule="auto"/>
        <w:jc w:val="both"/>
        <w:rPr>
          <w:rFonts w:ascii="Arial" w:hAnsi="Arial" w:cs="Arial"/>
          <w:sz w:val="20"/>
          <w:szCs w:val="20"/>
          <w:lang w:val="en-US"/>
        </w:rPr>
      </w:pPr>
    </w:p>
    <w:p w14:paraId="7D591144" w14:textId="77777777" w:rsidR="00EF28BE" w:rsidRPr="00B07D2E" w:rsidRDefault="00EF28BE" w:rsidP="00E271E2">
      <w:pPr>
        <w:spacing w:after="0" w:line="240" w:lineRule="auto"/>
        <w:jc w:val="both"/>
        <w:rPr>
          <w:rFonts w:ascii="Arial" w:hAnsi="Arial" w:cs="Arial"/>
          <w:b/>
          <w:bCs/>
        </w:rPr>
      </w:pPr>
      <w:r w:rsidRPr="00B07D2E">
        <w:rPr>
          <w:rFonts w:ascii="Arial" w:hAnsi="Arial" w:cs="Arial"/>
          <w:b/>
          <w:bCs/>
        </w:rPr>
        <w:t>Introducción</w:t>
      </w:r>
    </w:p>
    <w:p w14:paraId="69C70F1C"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 xml:space="preserve">Según los datos proporcionados por la Oficina de las Naciones Unidas contra la Droga y el Delito (UNODC, 2023) y ONU Mujeres, en 2021 se registraron </w:t>
      </w:r>
      <w:r w:rsidRPr="00B07D2E">
        <w:rPr>
          <w:rFonts w:ascii="Arial" w:eastAsia="Times New Roman" w:hAnsi="Arial" w:cs="Arial"/>
          <w:bCs/>
          <w:kern w:val="0"/>
          <w:sz w:val="20"/>
          <w:szCs w:val="20"/>
          <w:lang w:eastAsia="es-CO"/>
        </w:rPr>
        <w:t>81,100 asesinatos intencionales de mujeres a nivel mundial</w:t>
      </w:r>
      <w:r w:rsidRPr="00B07D2E">
        <w:rPr>
          <w:rFonts w:ascii="Arial" w:eastAsia="Times New Roman" w:hAnsi="Arial" w:cs="Arial"/>
          <w:kern w:val="0"/>
          <w:sz w:val="20"/>
          <w:szCs w:val="20"/>
          <w:lang w:eastAsia="es-CO"/>
        </w:rPr>
        <w:t xml:space="preserve">, de los cuales </w:t>
      </w:r>
      <w:r w:rsidRPr="00B07D2E">
        <w:rPr>
          <w:rFonts w:ascii="Arial" w:eastAsia="Times New Roman" w:hAnsi="Arial" w:cs="Arial"/>
          <w:bCs/>
          <w:kern w:val="0"/>
          <w:sz w:val="20"/>
          <w:szCs w:val="20"/>
          <w:lang w:eastAsia="es-CO"/>
        </w:rPr>
        <w:t>45,000 fueron cometidos</w:t>
      </w:r>
      <w:r w:rsidRPr="00B07D2E">
        <w:rPr>
          <w:rFonts w:ascii="Arial" w:eastAsia="Times New Roman" w:hAnsi="Arial" w:cs="Arial"/>
          <w:kern w:val="0"/>
          <w:sz w:val="20"/>
          <w:szCs w:val="20"/>
          <w:lang w:eastAsia="es-CO"/>
        </w:rPr>
        <w:t xml:space="preserve"> por parejas o familiares cercanos de las víctimas. Además, la Comisión Económica para América Latina y el Caribe (CEPAL) (2023) reportó que los países con las mayores tasas de feminicidio </w:t>
      </w:r>
      <w:r w:rsidRPr="00B07D2E">
        <w:rPr>
          <w:rFonts w:ascii="Arial" w:eastAsia="Times New Roman" w:hAnsi="Arial" w:cs="Arial"/>
          <w:bCs/>
          <w:kern w:val="0"/>
          <w:sz w:val="20"/>
          <w:szCs w:val="20"/>
          <w:lang w:eastAsia="es-CO"/>
        </w:rPr>
        <w:t>por razones de género</w:t>
      </w:r>
      <w:r w:rsidRPr="00B07D2E">
        <w:rPr>
          <w:rFonts w:ascii="Arial" w:eastAsia="Times New Roman" w:hAnsi="Arial" w:cs="Arial"/>
          <w:kern w:val="0"/>
          <w:sz w:val="20"/>
          <w:szCs w:val="20"/>
          <w:lang w:eastAsia="es-CO"/>
        </w:rPr>
        <w:t xml:space="preserve"> son Honduras, con 6 mujeres asesinadas por cada 100,000 habitantes al año. En República Dominicana, la tasa </w:t>
      </w:r>
      <w:r w:rsidRPr="00B07D2E">
        <w:rPr>
          <w:rFonts w:ascii="Arial" w:eastAsia="Times New Roman" w:hAnsi="Arial" w:cs="Arial"/>
          <w:bCs/>
          <w:kern w:val="0"/>
          <w:sz w:val="20"/>
          <w:szCs w:val="20"/>
          <w:lang w:eastAsia="es-CO"/>
        </w:rPr>
        <w:t>es de 3 mujeres</w:t>
      </w:r>
      <w:r w:rsidRPr="00B07D2E">
        <w:rPr>
          <w:rFonts w:ascii="Arial" w:eastAsia="Times New Roman" w:hAnsi="Arial" w:cs="Arial"/>
          <w:kern w:val="0"/>
          <w:sz w:val="20"/>
          <w:szCs w:val="20"/>
          <w:lang w:eastAsia="es-CO"/>
        </w:rPr>
        <w:t xml:space="preserve">, mientras que en El Salvador y Uruguay </w:t>
      </w:r>
      <w:r w:rsidRPr="00B07D2E">
        <w:rPr>
          <w:rFonts w:ascii="Arial" w:eastAsia="Times New Roman" w:hAnsi="Arial" w:cs="Arial"/>
          <w:bCs/>
          <w:kern w:val="0"/>
          <w:sz w:val="20"/>
          <w:szCs w:val="20"/>
          <w:lang w:eastAsia="es-CO"/>
        </w:rPr>
        <w:t>alcanza aproximadamente</w:t>
      </w:r>
      <w:r w:rsidRPr="00B07D2E">
        <w:rPr>
          <w:rFonts w:ascii="Arial" w:eastAsia="Times New Roman" w:hAnsi="Arial" w:cs="Arial"/>
          <w:kern w:val="0"/>
          <w:sz w:val="20"/>
          <w:szCs w:val="20"/>
          <w:lang w:eastAsia="es-CO"/>
        </w:rPr>
        <w:t xml:space="preserve"> 2. Esta información </w:t>
      </w:r>
      <w:r w:rsidRPr="00B07D2E">
        <w:rPr>
          <w:rFonts w:ascii="Arial" w:eastAsia="Times New Roman" w:hAnsi="Arial" w:cs="Arial"/>
          <w:bCs/>
          <w:kern w:val="0"/>
          <w:sz w:val="20"/>
          <w:szCs w:val="20"/>
          <w:lang w:eastAsia="es-CO"/>
        </w:rPr>
        <w:t>destaca que las mujeres latinoamericanas</w:t>
      </w:r>
      <w:r w:rsidRPr="00B07D2E">
        <w:rPr>
          <w:rFonts w:ascii="Arial" w:eastAsia="Times New Roman" w:hAnsi="Arial" w:cs="Arial"/>
          <w:kern w:val="0"/>
          <w:sz w:val="20"/>
          <w:szCs w:val="20"/>
          <w:lang w:eastAsia="es-CO"/>
        </w:rPr>
        <w:t xml:space="preserve"> enfrentan serias amenazas a su seguridad y bienestar, </w:t>
      </w:r>
      <w:r w:rsidRPr="00B07D2E">
        <w:rPr>
          <w:rFonts w:ascii="Arial" w:eastAsia="Times New Roman" w:hAnsi="Arial" w:cs="Arial"/>
          <w:bCs/>
          <w:kern w:val="0"/>
          <w:sz w:val="20"/>
          <w:szCs w:val="20"/>
          <w:lang w:eastAsia="es-CO"/>
        </w:rPr>
        <w:t>debido a que la estructura social y cultural actual</w:t>
      </w:r>
      <w:r w:rsidRPr="00B07D2E">
        <w:rPr>
          <w:rFonts w:ascii="Arial" w:eastAsia="Times New Roman" w:hAnsi="Arial" w:cs="Arial"/>
          <w:kern w:val="0"/>
          <w:sz w:val="20"/>
          <w:szCs w:val="20"/>
          <w:lang w:eastAsia="es-CO"/>
        </w:rPr>
        <w:t xml:space="preserve"> sigue representando un riesgo para su integridad y derecho a vivir </w:t>
      </w:r>
      <w:r w:rsidRPr="00B07D2E">
        <w:rPr>
          <w:rFonts w:ascii="Arial" w:eastAsia="Times New Roman" w:hAnsi="Arial" w:cs="Arial"/>
          <w:bCs/>
          <w:kern w:val="0"/>
          <w:sz w:val="20"/>
          <w:szCs w:val="20"/>
          <w:lang w:eastAsia="es-CO"/>
        </w:rPr>
        <w:t>con tranquilidad y dignidad</w:t>
      </w:r>
      <w:r w:rsidRPr="00B07D2E">
        <w:rPr>
          <w:rFonts w:ascii="Arial" w:eastAsia="Times New Roman" w:hAnsi="Arial" w:cs="Arial"/>
          <w:kern w:val="0"/>
          <w:sz w:val="20"/>
          <w:szCs w:val="20"/>
          <w:lang w:eastAsia="es-CO"/>
        </w:rPr>
        <w:t>.</w:t>
      </w:r>
    </w:p>
    <w:p w14:paraId="149B9F15"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 xml:space="preserve">El feminicidio en Perú continúa siendo una problemática alarmante. Según los datos proporcionados por el Instituto Nacional de Estadística e Informática (INEI, 2022), en 2021 se registraron </w:t>
      </w:r>
      <w:r w:rsidRPr="00B07D2E">
        <w:rPr>
          <w:rFonts w:ascii="Arial" w:eastAsia="Times New Roman" w:hAnsi="Arial" w:cs="Arial"/>
          <w:bCs/>
          <w:kern w:val="0"/>
          <w:sz w:val="20"/>
          <w:szCs w:val="20"/>
          <w:lang w:eastAsia="es-CO"/>
        </w:rPr>
        <w:t>141 víctimas</w:t>
      </w:r>
      <w:r w:rsidRPr="00B07D2E">
        <w:rPr>
          <w:rFonts w:ascii="Arial" w:eastAsia="Times New Roman" w:hAnsi="Arial" w:cs="Arial"/>
          <w:kern w:val="0"/>
          <w:sz w:val="20"/>
          <w:szCs w:val="20"/>
          <w:lang w:eastAsia="es-CO"/>
        </w:rPr>
        <w:t xml:space="preserve">, cifra que aumentó a </w:t>
      </w:r>
      <w:r w:rsidRPr="00B07D2E">
        <w:rPr>
          <w:rFonts w:ascii="Arial" w:eastAsia="Times New Roman" w:hAnsi="Arial" w:cs="Arial"/>
          <w:bCs/>
          <w:kern w:val="0"/>
          <w:sz w:val="20"/>
          <w:szCs w:val="20"/>
          <w:lang w:eastAsia="es-CO"/>
        </w:rPr>
        <w:t>147 en 2022</w:t>
      </w:r>
      <w:r w:rsidRPr="00B07D2E">
        <w:rPr>
          <w:rFonts w:ascii="Arial" w:eastAsia="Times New Roman" w:hAnsi="Arial" w:cs="Arial"/>
          <w:kern w:val="0"/>
          <w:sz w:val="20"/>
          <w:szCs w:val="20"/>
          <w:lang w:eastAsia="es-CO"/>
        </w:rPr>
        <w:t xml:space="preserve">. Sin embargo, para septiembre de 2023, se reportó una disminución a 95 casos, lo que refleja una reducción en comparación con los años anteriores. Aunque la tasa de feminicidio en el país se sitúa en 0.9 por cada 100,000 mujeres, </w:t>
      </w:r>
      <w:r w:rsidRPr="00B07D2E">
        <w:rPr>
          <w:rFonts w:ascii="Arial" w:eastAsia="Times New Roman" w:hAnsi="Arial" w:cs="Arial"/>
          <w:bCs/>
          <w:kern w:val="0"/>
          <w:sz w:val="20"/>
          <w:szCs w:val="20"/>
          <w:lang w:eastAsia="es-CO"/>
        </w:rPr>
        <w:t>una de las más bajas de la región</w:t>
      </w:r>
      <w:r w:rsidRPr="00B07D2E">
        <w:rPr>
          <w:rFonts w:ascii="Arial" w:eastAsia="Times New Roman" w:hAnsi="Arial" w:cs="Arial"/>
          <w:kern w:val="0"/>
          <w:sz w:val="20"/>
          <w:szCs w:val="20"/>
          <w:lang w:eastAsia="es-CO"/>
        </w:rPr>
        <w:t xml:space="preserve">, esta estadística </w:t>
      </w:r>
      <w:r w:rsidRPr="00B07D2E">
        <w:rPr>
          <w:rFonts w:ascii="Arial" w:eastAsia="Times New Roman" w:hAnsi="Arial" w:cs="Arial"/>
          <w:bCs/>
          <w:kern w:val="0"/>
          <w:sz w:val="20"/>
          <w:szCs w:val="20"/>
          <w:lang w:eastAsia="es-CO"/>
        </w:rPr>
        <w:t>no minimiza</w:t>
      </w:r>
      <w:r w:rsidRPr="00B07D2E">
        <w:rPr>
          <w:rFonts w:ascii="Arial" w:eastAsia="Times New Roman" w:hAnsi="Arial" w:cs="Arial"/>
          <w:kern w:val="0"/>
          <w:sz w:val="20"/>
          <w:szCs w:val="20"/>
          <w:lang w:eastAsia="es-CO"/>
        </w:rPr>
        <w:t xml:space="preserve"> la gravedad del problema, pues la persistencia de estos crímenes sigue siendo </w:t>
      </w:r>
      <w:r w:rsidRPr="00B07D2E">
        <w:rPr>
          <w:rFonts w:ascii="Arial" w:eastAsia="Times New Roman" w:hAnsi="Arial" w:cs="Arial"/>
          <w:bCs/>
          <w:kern w:val="0"/>
          <w:sz w:val="20"/>
          <w:szCs w:val="20"/>
          <w:lang w:eastAsia="es-CO"/>
        </w:rPr>
        <w:t>motivo de gran preocupación</w:t>
      </w:r>
      <w:r w:rsidRPr="00B07D2E">
        <w:rPr>
          <w:rFonts w:ascii="Arial" w:eastAsia="Times New Roman" w:hAnsi="Arial" w:cs="Arial"/>
          <w:kern w:val="0"/>
          <w:sz w:val="20"/>
          <w:szCs w:val="20"/>
          <w:lang w:eastAsia="es-CO"/>
        </w:rPr>
        <w:t xml:space="preserve">. La información proporcionada por el Comité Estadístico Interinstitucional de la Criminalidad (2021), </w:t>
      </w:r>
      <w:r w:rsidRPr="00B07D2E">
        <w:rPr>
          <w:rFonts w:ascii="Arial" w:eastAsia="Times New Roman" w:hAnsi="Arial" w:cs="Arial"/>
          <w:bCs/>
          <w:kern w:val="0"/>
          <w:sz w:val="20"/>
          <w:szCs w:val="20"/>
          <w:lang w:eastAsia="es-CO"/>
        </w:rPr>
        <w:t>el Comentario (2022)</w:t>
      </w:r>
      <w:r w:rsidRPr="00B07D2E">
        <w:rPr>
          <w:rFonts w:ascii="Arial" w:eastAsia="Times New Roman" w:hAnsi="Arial" w:cs="Arial"/>
          <w:kern w:val="0"/>
          <w:sz w:val="20"/>
          <w:szCs w:val="20"/>
          <w:lang w:eastAsia="es-CO"/>
        </w:rPr>
        <w:t xml:space="preserve"> y Swissinfo (2023) indica que, aunque los casos han disminuido en el último año, el feminicidio continúa siendo un indicador de la agresión estructural hacia las mujeres en el país, lo cual demanda una respuesta integral y </w:t>
      </w:r>
      <w:r w:rsidRPr="00B07D2E">
        <w:rPr>
          <w:rFonts w:ascii="Arial" w:eastAsia="Times New Roman" w:hAnsi="Arial" w:cs="Arial"/>
          <w:bCs/>
          <w:kern w:val="0"/>
          <w:sz w:val="20"/>
          <w:szCs w:val="20"/>
          <w:lang w:eastAsia="es-CO"/>
        </w:rPr>
        <w:t>más efectiva para abordar</w:t>
      </w:r>
      <w:r w:rsidRPr="00B07D2E">
        <w:rPr>
          <w:rFonts w:ascii="Arial" w:eastAsia="Times New Roman" w:hAnsi="Arial" w:cs="Arial"/>
          <w:kern w:val="0"/>
          <w:sz w:val="20"/>
          <w:szCs w:val="20"/>
          <w:lang w:eastAsia="es-CO"/>
        </w:rPr>
        <w:t xml:space="preserve"> las causas profundas de este problema.</w:t>
      </w:r>
    </w:p>
    <w:p w14:paraId="3132B069"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 xml:space="preserve">Desde una perspectiva hermenéutica, que </w:t>
      </w:r>
      <w:r w:rsidRPr="00B07D2E">
        <w:rPr>
          <w:rFonts w:ascii="Arial" w:eastAsia="Times New Roman" w:hAnsi="Arial" w:cs="Arial"/>
          <w:bCs/>
          <w:kern w:val="0"/>
          <w:sz w:val="20"/>
          <w:szCs w:val="20"/>
          <w:lang w:eastAsia="es-CO"/>
        </w:rPr>
        <w:t>busca analizar y entender</w:t>
      </w:r>
      <w:r w:rsidRPr="00B07D2E">
        <w:rPr>
          <w:rFonts w:ascii="Arial" w:eastAsia="Times New Roman" w:hAnsi="Arial" w:cs="Arial"/>
          <w:kern w:val="0"/>
          <w:sz w:val="20"/>
          <w:szCs w:val="20"/>
          <w:lang w:eastAsia="es-CO"/>
        </w:rPr>
        <w:t xml:space="preserve"> el fenómeno desde una perspectiva legal, social y cultural, de acuerdo con Cubo (2019), esta actividad comprende la realización de una interpretación profunda de las normas jurídicas y su relación con la aplicación de las teorías y doctrinas de género </w:t>
      </w:r>
      <w:r w:rsidRPr="00B07D2E">
        <w:rPr>
          <w:rFonts w:ascii="Arial" w:eastAsia="Times New Roman" w:hAnsi="Arial" w:cs="Arial"/>
          <w:bCs/>
          <w:kern w:val="0"/>
          <w:sz w:val="20"/>
          <w:szCs w:val="20"/>
          <w:lang w:eastAsia="es-CO"/>
        </w:rPr>
        <w:t>respecto a las víctimas</w:t>
      </w:r>
      <w:r w:rsidRPr="00B07D2E">
        <w:rPr>
          <w:rFonts w:ascii="Arial" w:eastAsia="Times New Roman" w:hAnsi="Arial" w:cs="Arial"/>
          <w:kern w:val="0"/>
          <w:sz w:val="20"/>
          <w:szCs w:val="20"/>
          <w:lang w:eastAsia="es-CO"/>
        </w:rPr>
        <w:t xml:space="preserve">. </w:t>
      </w:r>
      <w:r w:rsidRPr="00B07D2E">
        <w:rPr>
          <w:rFonts w:ascii="Arial" w:eastAsia="Times New Roman" w:hAnsi="Arial" w:cs="Arial"/>
          <w:bCs/>
          <w:kern w:val="0"/>
          <w:sz w:val="20"/>
          <w:szCs w:val="20"/>
          <w:lang w:eastAsia="es-CO"/>
        </w:rPr>
        <w:t>Se deben sistematizar</w:t>
      </w:r>
      <w:r w:rsidRPr="00B07D2E">
        <w:rPr>
          <w:rFonts w:ascii="Arial" w:eastAsia="Times New Roman" w:hAnsi="Arial" w:cs="Arial"/>
          <w:kern w:val="0"/>
          <w:sz w:val="20"/>
          <w:szCs w:val="20"/>
          <w:lang w:eastAsia="es-CO"/>
        </w:rPr>
        <w:t xml:space="preserve"> los principales fundamentos científicos y jurídicos para establecer un sentido y significado </w:t>
      </w:r>
      <w:r w:rsidRPr="00B07D2E">
        <w:rPr>
          <w:rFonts w:ascii="Arial" w:eastAsia="Times New Roman" w:hAnsi="Arial" w:cs="Arial"/>
          <w:bCs/>
          <w:kern w:val="0"/>
          <w:sz w:val="20"/>
          <w:szCs w:val="20"/>
          <w:lang w:eastAsia="es-CO"/>
        </w:rPr>
        <w:t>a las acciones humanas relacionadas con</w:t>
      </w:r>
      <w:r w:rsidRPr="00B07D2E">
        <w:rPr>
          <w:rFonts w:ascii="Arial" w:eastAsia="Times New Roman" w:hAnsi="Arial" w:cs="Arial"/>
          <w:kern w:val="0"/>
          <w:sz w:val="20"/>
          <w:szCs w:val="20"/>
          <w:lang w:eastAsia="es-CO"/>
        </w:rPr>
        <w:t xml:space="preserve"> el delito citado.</w:t>
      </w:r>
    </w:p>
    <w:p w14:paraId="7FB3802E"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 xml:space="preserve">Las principales teorías que pretenden explicar las causas y motivaciones del delito de </w:t>
      </w:r>
      <w:r w:rsidRPr="00B07D2E">
        <w:rPr>
          <w:rFonts w:ascii="Arial" w:eastAsia="Times New Roman" w:hAnsi="Arial" w:cs="Arial"/>
          <w:bCs/>
          <w:kern w:val="0"/>
          <w:sz w:val="20"/>
          <w:szCs w:val="20"/>
          <w:lang w:eastAsia="es-CO"/>
        </w:rPr>
        <w:t>feminicidio</w:t>
      </w:r>
      <w:r w:rsidRPr="00B07D2E">
        <w:rPr>
          <w:rFonts w:ascii="Arial" w:eastAsia="Times New Roman" w:hAnsi="Arial" w:cs="Arial"/>
          <w:kern w:val="0"/>
          <w:sz w:val="20"/>
          <w:szCs w:val="20"/>
          <w:lang w:eastAsia="es-CO"/>
        </w:rPr>
        <w:t xml:space="preserve"> son la teoría de género, la teoría psicopatológica y la teoría sociológica. La teoría de género plantea que el feminicidio representa una forma severa de violencia dirigida hacia las mujeres, originada en la discriminación y la desigualdad estructural que enfrentan en diversos ámbitos de la sociedad (Cruz, 2017). Esta perspectiva subraya cómo las estructuras sociales y culturales patriarcales contribuyen a las acciones agresivas dirigidas contra las mujeres, </w:t>
      </w:r>
      <w:r w:rsidRPr="00B07D2E">
        <w:rPr>
          <w:rFonts w:ascii="Arial" w:eastAsia="Times New Roman" w:hAnsi="Arial" w:cs="Arial"/>
          <w:bCs/>
          <w:kern w:val="0"/>
          <w:sz w:val="20"/>
          <w:szCs w:val="20"/>
          <w:lang w:eastAsia="es-CO"/>
        </w:rPr>
        <w:t>lo que se evidencia en delitos tan graves como el homicidio de mujeres basado en motivos de género.</w:t>
      </w:r>
      <w:r w:rsidRPr="00B07D2E">
        <w:rPr>
          <w:rFonts w:ascii="Arial" w:eastAsia="Times New Roman" w:hAnsi="Arial" w:cs="Arial"/>
          <w:kern w:val="0"/>
          <w:sz w:val="20"/>
          <w:szCs w:val="20"/>
          <w:lang w:eastAsia="es-CO"/>
        </w:rPr>
        <w:t xml:space="preserve"> La teoría propone que estos actos no solo son el resultado de agresores individuales, sino de un sistema social que, a lo largo de la historia, ha subordinado a las mujeres, </w:t>
      </w:r>
      <w:r w:rsidRPr="00B07D2E">
        <w:rPr>
          <w:rFonts w:ascii="Arial" w:eastAsia="Times New Roman" w:hAnsi="Arial" w:cs="Arial"/>
          <w:bCs/>
          <w:kern w:val="0"/>
          <w:sz w:val="20"/>
          <w:szCs w:val="20"/>
          <w:lang w:eastAsia="es-CO"/>
        </w:rPr>
        <w:t>validando y naturalizando la violencia en su contra</w:t>
      </w:r>
      <w:r w:rsidRPr="00B07D2E">
        <w:rPr>
          <w:rFonts w:ascii="Arial" w:eastAsia="Times New Roman" w:hAnsi="Arial" w:cs="Arial"/>
          <w:kern w:val="0"/>
          <w:sz w:val="20"/>
          <w:szCs w:val="20"/>
          <w:lang w:eastAsia="es-CO"/>
        </w:rPr>
        <w:t>.</w:t>
      </w:r>
    </w:p>
    <w:p w14:paraId="24494E83"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 xml:space="preserve">Con relación a la teoría </w:t>
      </w:r>
      <w:r w:rsidRPr="00B07D2E">
        <w:rPr>
          <w:rFonts w:ascii="Arial" w:eastAsia="Times New Roman" w:hAnsi="Arial" w:cs="Arial"/>
          <w:bCs/>
          <w:kern w:val="0"/>
          <w:sz w:val="20"/>
          <w:szCs w:val="20"/>
          <w:lang w:eastAsia="es-CO"/>
        </w:rPr>
        <w:t>psicopatológica</w:t>
      </w:r>
      <w:r w:rsidRPr="00B07D2E">
        <w:rPr>
          <w:rFonts w:ascii="Arial" w:eastAsia="Times New Roman" w:hAnsi="Arial" w:cs="Arial"/>
          <w:kern w:val="0"/>
          <w:sz w:val="20"/>
          <w:szCs w:val="20"/>
          <w:lang w:eastAsia="es-CO"/>
        </w:rPr>
        <w:t xml:space="preserve">, </w:t>
      </w:r>
      <w:r w:rsidRPr="00B07D2E">
        <w:rPr>
          <w:rFonts w:ascii="Arial" w:eastAsia="Times New Roman" w:hAnsi="Arial" w:cs="Arial"/>
          <w:bCs/>
          <w:kern w:val="0"/>
          <w:sz w:val="20"/>
          <w:szCs w:val="20"/>
          <w:lang w:eastAsia="es-CO"/>
        </w:rPr>
        <w:t>según Aguilar (2018), los principales argumentos que respaldan esta posición se centran en</w:t>
      </w:r>
      <w:r w:rsidRPr="00B07D2E">
        <w:rPr>
          <w:rFonts w:ascii="Arial" w:eastAsia="Times New Roman" w:hAnsi="Arial" w:cs="Arial"/>
          <w:kern w:val="0"/>
          <w:sz w:val="20"/>
          <w:szCs w:val="20"/>
          <w:lang w:eastAsia="es-CO"/>
        </w:rPr>
        <w:t xml:space="preserve"> los rasgos personales psicopatológicos, como trastornos de personalidad, mentales y adicciones. </w:t>
      </w:r>
      <w:r w:rsidRPr="00B07D2E">
        <w:rPr>
          <w:rFonts w:ascii="Arial" w:eastAsia="Times New Roman" w:hAnsi="Arial" w:cs="Arial"/>
          <w:bCs/>
          <w:kern w:val="0"/>
          <w:sz w:val="20"/>
          <w:szCs w:val="20"/>
          <w:lang w:eastAsia="es-CO"/>
        </w:rPr>
        <w:t>Burgess-Proctor (2006) realizó entrevistas a 28 feminicidas condenados en Estados Unidos, identificando frecuentes rasgos de psicopatía, narcisismo, sadismo y misoginia extrema; además, un tercio de los participantes tenía antecedentes de violencia contra mujeres.</w:t>
      </w:r>
      <w:r w:rsidRPr="00B07D2E">
        <w:rPr>
          <w:rFonts w:ascii="Arial" w:eastAsia="Times New Roman" w:hAnsi="Arial" w:cs="Arial"/>
          <w:kern w:val="0"/>
          <w:sz w:val="20"/>
          <w:szCs w:val="20"/>
          <w:lang w:eastAsia="es-CO"/>
        </w:rPr>
        <w:t xml:space="preserve"> Similarmente, Aguilar (2018) </w:t>
      </w:r>
      <w:r w:rsidRPr="00B07D2E">
        <w:rPr>
          <w:rFonts w:ascii="Arial" w:eastAsia="Times New Roman" w:hAnsi="Arial" w:cs="Arial"/>
          <w:bCs/>
          <w:kern w:val="0"/>
          <w:sz w:val="20"/>
          <w:szCs w:val="20"/>
          <w:lang w:eastAsia="es-CO"/>
        </w:rPr>
        <w:t>informó</w:t>
      </w:r>
      <w:r w:rsidRPr="00B07D2E">
        <w:rPr>
          <w:rFonts w:ascii="Arial" w:eastAsia="Times New Roman" w:hAnsi="Arial" w:cs="Arial"/>
          <w:kern w:val="0"/>
          <w:sz w:val="20"/>
          <w:szCs w:val="20"/>
          <w:lang w:eastAsia="es-CO"/>
        </w:rPr>
        <w:t xml:space="preserve"> que en un análisis de sentencias judiciales de 80 casos de feminicidio íntimo en España </w:t>
      </w:r>
      <w:r w:rsidRPr="00B07D2E">
        <w:rPr>
          <w:rFonts w:ascii="Arial" w:eastAsia="Times New Roman" w:hAnsi="Arial" w:cs="Arial"/>
          <w:bCs/>
          <w:kern w:val="0"/>
          <w:sz w:val="20"/>
          <w:szCs w:val="20"/>
          <w:lang w:eastAsia="es-CO"/>
        </w:rPr>
        <w:t>se halló</w:t>
      </w:r>
      <w:r w:rsidRPr="00B07D2E">
        <w:rPr>
          <w:rFonts w:ascii="Arial" w:eastAsia="Times New Roman" w:hAnsi="Arial" w:cs="Arial"/>
          <w:kern w:val="0"/>
          <w:sz w:val="20"/>
          <w:szCs w:val="20"/>
          <w:lang w:eastAsia="es-CO"/>
        </w:rPr>
        <w:t xml:space="preserve"> que el 45 % de los hombres manifestaban conductas violentas previas, celotipia y hostilidad hacia la víctima ante intentos de ruptura. Por ello, desde el enfoque psicopatológico se advierte que los victimarios no solo reproducen la cultura machista, sino que tienen patrones de personalidad maligna y distorsiones cognitivas profundas que </w:t>
      </w:r>
      <w:r w:rsidRPr="00B07D2E">
        <w:rPr>
          <w:rFonts w:ascii="Arial" w:eastAsia="Times New Roman" w:hAnsi="Arial" w:cs="Arial"/>
          <w:bCs/>
          <w:kern w:val="0"/>
          <w:sz w:val="20"/>
          <w:szCs w:val="20"/>
          <w:lang w:eastAsia="es-CO"/>
        </w:rPr>
        <w:t>los llevan</w:t>
      </w:r>
      <w:r w:rsidRPr="00B07D2E">
        <w:rPr>
          <w:rFonts w:ascii="Arial" w:eastAsia="Times New Roman" w:hAnsi="Arial" w:cs="Arial"/>
          <w:kern w:val="0"/>
          <w:sz w:val="20"/>
          <w:szCs w:val="20"/>
          <w:lang w:eastAsia="es-CO"/>
        </w:rPr>
        <w:t xml:space="preserve"> a cosificar a las mujeres y ejercer violencia cuando no responden a sus demandas.</w:t>
      </w:r>
    </w:p>
    <w:p w14:paraId="2B55BD5A"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lastRenderedPageBreak/>
        <w:t xml:space="preserve">Por ende, esta teoría sostiene que el perfil psicológico de los agresores </w:t>
      </w:r>
      <w:r w:rsidRPr="00B07D2E">
        <w:rPr>
          <w:rFonts w:ascii="Arial" w:eastAsia="Times New Roman" w:hAnsi="Arial" w:cs="Arial"/>
          <w:bCs/>
          <w:kern w:val="0"/>
          <w:sz w:val="20"/>
          <w:szCs w:val="20"/>
          <w:lang w:eastAsia="es-CO"/>
        </w:rPr>
        <w:t>está</w:t>
      </w:r>
      <w:r w:rsidRPr="00B07D2E">
        <w:rPr>
          <w:rFonts w:ascii="Arial" w:eastAsia="Times New Roman" w:hAnsi="Arial" w:cs="Arial"/>
          <w:kern w:val="0"/>
          <w:sz w:val="20"/>
          <w:szCs w:val="20"/>
          <w:lang w:eastAsia="es-CO"/>
        </w:rPr>
        <w:t xml:space="preserve"> relacionado con trastornos mentales, debido a que algunos de estos sujetos creen que su pareja pretende hacerles daño, </w:t>
      </w:r>
      <w:r w:rsidRPr="00B07D2E">
        <w:rPr>
          <w:rFonts w:ascii="Arial" w:eastAsia="Times New Roman" w:hAnsi="Arial" w:cs="Arial"/>
          <w:bCs/>
          <w:kern w:val="0"/>
          <w:sz w:val="20"/>
          <w:szCs w:val="20"/>
          <w:lang w:eastAsia="es-CO"/>
        </w:rPr>
        <w:t>los persigue</w:t>
      </w:r>
      <w:r w:rsidRPr="00B07D2E">
        <w:rPr>
          <w:rFonts w:ascii="Arial" w:eastAsia="Times New Roman" w:hAnsi="Arial" w:cs="Arial"/>
          <w:kern w:val="0"/>
          <w:sz w:val="20"/>
          <w:szCs w:val="20"/>
          <w:lang w:eastAsia="es-CO"/>
        </w:rPr>
        <w:t xml:space="preserve"> o les es infiel. Este factor supera las causas sociales y culturales, por lo que </w:t>
      </w:r>
      <w:r w:rsidRPr="00B07D2E">
        <w:rPr>
          <w:rFonts w:ascii="Arial" w:eastAsia="Times New Roman" w:hAnsi="Arial" w:cs="Arial"/>
          <w:bCs/>
          <w:kern w:val="0"/>
          <w:sz w:val="20"/>
          <w:szCs w:val="20"/>
          <w:lang w:eastAsia="es-CO"/>
        </w:rPr>
        <w:t>se resalta</w:t>
      </w:r>
      <w:r w:rsidRPr="00B07D2E">
        <w:rPr>
          <w:rFonts w:ascii="Arial" w:eastAsia="Times New Roman" w:hAnsi="Arial" w:cs="Arial"/>
          <w:kern w:val="0"/>
          <w:sz w:val="20"/>
          <w:szCs w:val="20"/>
          <w:lang w:eastAsia="es-CO"/>
        </w:rPr>
        <w:t xml:space="preserve"> la necesidad de generar una cultura de sanidad mental y de tratamiento preventivo </w:t>
      </w:r>
      <w:r w:rsidRPr="00B07D2E">
        <w:rPr>
          <w:rFonts w:ascii="Arial" w:eastAsia="Times New Roman" w:hAnsi="Arial" w:cs="Arial"/>
          <w:bCs/>
          <w:kern w:val="0"/>
          <w:sz w:val="20"/>
          <w:szCs w:val="20"/>
          <w:lang w:eastAsia="es-CO"/>
        </w:rPr>
        <w:t>para</w:t>
      </w:r>
      <w:r w:rsidRPr="00B07D2E">
        <w:rPr>
          <w:rFonts w:ascii="Arial" w:eastAsia="Times New Roman" w:hAnsi="Arial" w:cs="Arial"/>
          <w:kern w:val="0"/>
          <w:sz w:val="20"/>
          <w:szCs w:val="20"/>
          <w:lang w:eastAsia="es-CO"/>
        </w:rPr>
        <w:t xml:space="preserve"> los individuos que representan un alto riesgo, con la finalidad de reducir los impactos.</w:t>
      </w:r>
    </w:p>
    <w:p w14:paraId="134DDD4C"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 xml:space="preserve">En el marco de la teoría sociológica, Incháustegui (2014) argumenta que los fundamentos del feminicidio se originan en la violencia estructural, profundamente marcada por las dinámicas de la masculinidad hegemónica. Según esta perspectiva, los feminicidios no son fenómenos aislados, sino producto de un contexto histórico que ha perpetuado prácticas sociales agresivas y hostiles hacia las mujeres. Estas prácticas están profundamente arraigadas en reglas de género </w:t>
      </w:r>
      <w:r w:rsidRPr="00B07D2E">
        <w:rPr>
          <w:rFonts w:ascii="Arial" w:eastAsia="Times New Roman" w:hAnsi="Arial" w:cs="Arial"/>
          <w:bCs/>
          <w:kern w:val="0"/>
          <w:sz w:val="20"/>
          <w:szCs w:val="20"/>
          <w:lang w:eastAsia="es-CO"/>
        </w:rPr>
        <w:t>desiguales</w:t>
      </w:r>
      <w:r w:rsidRPr="00B07D2E">
        <w:rPr>
          <w:rFonts w:ascii="Arial" w:eastAsia="Times New Roman" w:hAnsi="Arial" w:cs="Arial"/>
          <w:kern w:val="0"/>
          <w:sz w:val="20"/>
          <w:szCs w:val="20"/>
          <w:lang w:eastAsia="es-CO"/>
        </w:rPr>
        <w:t xml:space="preserve">, que las colocan en una situación de dependencia. Con el tiempo, </w:t>
      </w:r>
      <w:r w:rsidRPr="00B07D2E">
        <w:rPr>
          <w:rFonts w:ascii="Arial" w:eastAsia="Times New Roman" w:hAnsi="Arial" w:cs="Arial"/>
          <w:bCs/>
          <w:kern w:val="0"/>
          <w:sz w:val="20"/>
          <w:szCs w:val="20"/>
          <w:lang w:eastAsia="es-CO"/>
        </w:rPr>
        <w:t>esto ha contribuido</w:t>
      </w:r>
      <w:r w:rsidRPr="00B07D2E">
        <w:rPr>
          <w:rFonts w:ascii="Arial" w:eastAsia="Times New Roman" w:hAnsi="Arial" w:cs="Arial"/>
          <w:kern w:val="0"/>
          <w:sz w:val="20"/>
          <w:szCs w:val="20"/>
          <w:lang w:eastAsia="es-CO"/>
        </w:rPr>
        <w:t xml:space="preserve"> a crear un entorno en el que la integridad, el bienestar, las libertades y, en esencia, la supervivencia de las mujeres </w:t>
      </w:r>
      <w:r w:rsidRPr="00B07D2E">
        <w:rPr>
          <w:rFonts w:ascii="Arial" w:eastAsia="Times New Roman" w:hAnsi="Arial" w:cs="Arial"/>
          <w:bCs/>
          <w:kern w:val="0"/>
          <w:sz w:val="20"/>
          <w:szCs w:val="20"/>
          <w:lang w:eastAsia="es-CO"/>
        </w:rPr>
        <w:t>se ven</w:t>
      </w:r>
      <w:r w:rsidRPr="00B07D2E">
        <w:rPr>
          <w:rFonts w:ascii="Arial" w:eastAsia="Times New Roman" w:hAnsi="Arial" w:cs="Arial"/>
          <w:kern w:val="0"/>
          <w:sz w:val="20"/>
          <w:szCs w:val="20"/>
          <w:lang w:eastAsia="es-CO"/>
        </w:rPr>
        <w:t xml:space="preserve"> constantemente amenazados. La teoría sostiene que el feminicidio es un reflejo de esta violencia sistémica, que se manifiesta en actos extremos de agresión resultantes de la normalización de la disparidad de género en la colectividad.</w:t>
      </w:r>
    </w:p>
    <w:p w14:paraId="2D2F578B"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En el marco jurídico internacional, existen varios instrumentos fundamentales orientados a enfrentar y erradicar el feminicidio. Uno de los más destacados es la Convención sobre la eliminación de todas las formas de discriminación contra la mujer (1979), ratificada por 189 países, la cual proporciona un marco integral para garantizar la protección de los derechos femeninos. Además, el Estatuto de Roma de la Corte Penal Internacional (1998) considera el feminicidio sistemático en contextos de enfrentamiento bélico como un crimen de lesa humanidad, subrayando su gravedad y la necesidad de sancionar este tipo de acciones en el ámbito internacional. La Convención Interamericana para prevenir, sancionar y erradicar la violencia contra la mujer (1994), suscrita por 32 países de América, establece compromisos fundamentales para suprimir la agresión fundamentada en el género. En 2020, se adoptó la Ley Modelo Interamericana para Prevenir, Sancionar y Erradicar la Muerte Violenta de Mujeres, que ofrece directrices jurídicas para la tipificación del feminicidio en las legislaciones nacionales.</w:t>
      </w:r>
    </w:p>
    <w:p w14:paraId="0C3E4C69"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A nivel regional, diversas legislaciones nacionales también han tomado medidas para tipificar y sancionar el feminicidio. Por ejemplo, en México, la Ley General de Acceso de las Mujeres a una Vida Libre de Violencia (2007), en su artículo 21, define el feminicidio como un delito autónomo. En Guatemala, el Decreto del Congreso 22-2008 establece la Ley contra el feminicidio y otras formas de violencia contra la mujer (2008), donde el feminicidio está tipificado en su artículo 6. En Chile, la Ley 20.480 (2010) modifica las normas sobre parricidio y filicidio, tipificando el feminicidio. Costa Rica, por su parte, en su Ley de penalización de la violencia contra las mujeres N.º 8589 (2007), define el feminicidio como un delito autónomo en el artículo 21. Estas normativas nacionales e internacionales desempeñan un papel crucial al reconocer el feminicidio como un delito específico, facilitando su penalización y fortaleciendo los derechos esenciales de las mujeres en distintas regiones del planeta.</w:t>
      </w:r>
    </w:p>
    <w:p w14:paraId="4D06149C" w14:textId="77777777" w:rsidR="0074798F" w:rsidRPr="00B07D2E" w:rsidRDefault="0074798F" w:rsidP="00D82E8D">
      <w:pPr>
        <w:spacing w:after="0" w:line="240" w:lineRule="auto"/>
        <w:ind w:firstLine="709"/>
        <w:jc w:val="both"/>
        <w:rPr>
          <w:rFonts w:ascii="Arial" w:eastAsia="Times New Roman" w:hAnsi="Arial" w:cs="Arial"/>
          <w:kern w:val="0"/>
          <w:sz w:val="20"/>
          <w:szCs w:val="20"/>
          <w:lang w:eastAsia="es-CO"/>
        </w:rPr>
      </w:pPr>
      <w:r w:rsidRPr="00B07D2E">
        <w:rPr>
          <w:rFonts w:ascii="Arial" w:eastAsia="Times New Roman" w:hAnsi="Arial" w:cs="Arial"/>
          <w:kern w:val="0"/>
          <w:sz w:val="20"/>
          <w:szCs w:val="20"/>
          <w:lang w:eastAsia="es-CO"/>
        </w:rPr>
        <w:t>La investigación se centró en analizar los criterios científicos que los jueces utilizan para determinar si el homicidio de una mujer se produjo a causa de su género, con el propósito de esclarecer los alcances y limitaciones del delito de feminicidio.</w:t>
      </w:r>
    </w:p>
    <w:p w14:paraId="71F575EF" w14:textId="77777777" w:rsidR="007D2296" w:rsidRPr="00B07D2E" w:rsidRDefault="007D2296" w:rsidP="007D2296">
      <w:pPr>
        <w:pStyle w:val="NormalWeb"/>
        <w:spacing w:before="0" w:beforeAutospacing="0" w:after="0" w:afterAutospacing="0"/>
        <w:jc w:val="both"/>
        <w:rPr>
          <w:rFonts w:ascii="Arial" w:hAnsi="Arial" w:cs="Arial"/>
          <w:sz w:val="20"/>
        </w:rPr>
      </w:pPr>
    </w:p>
    <w:p w14:paraId="70BA3973" w14:textId="77777777" w:rsidR="00683E7D" w:rsidRPr="00B07D2E" w:rsidRDefault="00683E7D" w:rsidP="00E271E2">
      <w:pPr>
        <w:spacing w:after="0" w:line="240" w:lineRule="auto"/>
        <w:jc w:val="both"/>
        <w:rPr>
          <w:rFonts w:ascii="Arial" w:hAnsi="Arial" w:cs="Arial"/>
          <w:b/>
          <w:bCs/>
        </w:rPr>
      </w:pPr>
      <w:r w:rsidRPr="00B07D2E">
        <w:rPr>
          <w:rFonts w:ascii="Arial" w:hAnsi="Arial" w:cs="Arial"/>
          <w:b/>
          <w:bCs/>
        </w:rPr>
        <w:t>Metodología</w:t>
      </w:r>
    </w:p>
    <w:p w14:paraId="2E8792A6" w14:textId="77777777" w:rsidR="00126A02" w:rsidRPr="00B07D2E" w:rsidRDefault="00126A02" w:rsidP="00126A02">
      <w:pPr>
        <w:spacing w:after="0" w:line="240" w:lineRule="auto"/>
        <w:ind w:firstLine="709"/>
        <w:jc w:val="both"/>
        <w:rPr>
          <w:rFonts w:ascii="Arial" w:hAnsi="Arial" w:cs="Arial"/>
          <w:kern w:val="0"/>
        </w:rPr>
      </w:pPr>
      <w:r w:rsidRPr="00B07D2E">
        <w:rPr>
          <w:rFonts w:ascii="Arial" w:hAnsi="Arial" w:cs="Arial"/>
          <w:sz w:val="20"/>
        </w:rPr>
        <w:t>La investigación es de tipo básica, ya que su principal objetivo es generar nuevo conocimiento científico sobre el tema, sin un interés inmediato en la aplicación práctica de los resultados. El propósito fundamental de esta investigación es comprender y explicar los criterios científicos que sustentan los casos en los cuales se determina que una mujer fue asesinada debido a su condición de mujer, diferenciando claramente entre feminicidio y homicidio.</w:t>
      </w:r>
    </w:p>
    <w:p w14:paraId="310DD92E" w14:textId="26BC9E1C" w:rsidR="00126A02" w:rsidRPr="00B07D2E" w:rsidRDefault="00126A02" w:rsidP="00126A02">
      <w:pPr>
        <w:spacing w:after="0" w:line="240" w:lineRule="auto"/>
        <w:ind w:firstLine="709"/>
        <w:jc w:val="both"/>
        <w:rPr>
          <w:rFonts w:ascii="Arial" w:hAnsi="Arial" w:cs="Arial"/>
          <w:sz w:val="20"/>
        </w:rPr>
      </w:pPr>
      <w:r w:rsidRPr="00B07D2E">
        <w:rPr>
          <w:rFonts w:ascii="Arial" w:hAnsi="Arial" w:cs="Arial"/>
          <w:sz w:val="20"/>
        </w:rPr>
        <w:t>En cuanto a la metodología, se llevó a cabo una revisión sistemática documental guiada por el protocolo PRISMA (Preferred Reporting Items for Systematic Reviews and Meta-Analyses). Este enfoque permitió garantizar la transparencia y el rigor en la selección de fuentes, así como la fiabilidad y validez de los resultados obtenidos. Se incluyeron estudios publicados entre 2010 y 2023, documentos que analizaran el feminicidio desde una perspectiva jurídica o de género, y estudios con datos empíricos o análisis teóricos relevantes; asimismo, se excluyeron fuentes no verificables, documentos de opinión sin base científica y estudios cuyo enfoque principal no estuviera relacionado directamente con el objetivo de investigación.</w:t>
      </w:r>
    </w:p>
    <w:p w14:paraId="5F113E1F" w14:textId="77777777" w:rsidR="00126A02" w:rsidRDefault="00126A02" w:rsidP="00126A02">
      <w:pPr>
        <w:spacing w:after="0" w:line="240" w:lineRule="auto"/>
        <w:jc w:val="both"/>
        <w:rPr>
          <w:rFonts w:ascii="Arial" w:hAnsi="Arial" w:cs="Arial"/>
          <w:b/>
          <w:sz w:val="20"/>
        </w:rPr>
      </w:pPr>
    </w:p>
    <w:p w14:paraId="37720E8E" w14:textId="77777777" w:rsidR="00A508CC" w:rsidRDefault="00A508CC" w:rsidP="00126A02">
      <w:pPr>
        <w:spacing w:after="0" w:line="240" w:lineRule="auto"/>
        <w:jc w:val="both"/>
        <w:rPr>
          <w:rFonts w:ascii="Arial" w:hAnsi="Arial" w:cs="Arial"/>
          <w:b/>
          <w:sz w:val="20"/>
        </w:rPr>
      </w:pPr>
    </w:p>
    <w:p w14:paraId="32E80954" w14:textId="77777777" w:rsidR="00A508CC" w:rsidRDefault="00A508CC" w:rsidP="00126A02">
      <w:pPr>
        <w:spacing w:after="0" w:line="240" w:lineRule="auto"/>
        <w:jc w:val="both"/>
        <w:rPr>
          <w:rFonts w:ascii="Arial" w:hAnsi="Arial" w:cs="Arial"/>
          <w:b/>
          <w:sz w:val="20"/>
        </w:rPr>
      </w:pPr>
    </w:p>
    <w:p w14:paraId="3484DB7F" w14:textId="77777777" w:rsidR="00A508CC" w:rsidRPr="00B07D2E" w:rsidRDefault="00A508CC" w:rsidP="00126A02">
      <w:pPr>
        <w:spacing w:after="0" w:line="240" w:lineRule="auto"/>
        <w:jc w:val="both"/>
        <w:rPr>
          <w:rFonts w:ascii="Arial" w:hAnsi="Arial" w:cs="Arial"/>
          <w:b/>
          <w:sz w:val="20"/>
        </w:rPr>
      </w:pPr>
    </w:p>
    <w:p w14:paraId="70491DE6" w14:textId="77777777" w:rsidR="00126A02" w:rsidRPr="00B07D2E" w:rsidRDefault="00126A02" w:rsidP="00126A02">
      <w:pPr>
        <w:spacing w:after="0" w:line="240" w:lineRule="auto"/>
        <w:jc w:val="both"/>
        <w:rPr>
          <w:rFonts w:ascii="Arial" w:hAnsi="Arial" w:cs="Arial"/>
          <w:b/>
          <w:sz w:val="20"/>
        </w:rPr>
      </w:pPr>
    </w:p>
    <w:p w14:paraId="4F0EE0F0" w14:textId="6A523F09" w:rsidR="00126A02" w:rsidRPr="00B07D2E" w:rsidRDefault="00126A02" w:rsidP="00126A02">
      <w:pPr>
        <w:spacing w:after="0" w:line="240" w:lineRule="auto"/>
        <w:jc w:val="both"/>
        <w:rPr>
          <w:rFonts w:ascii="Arial" w:hAnsi="Arial" w:cs="Arial"/>
          <w:b/>
          <w:sz w:val="20"/>
        </w:rPr>
      </w:pPr>
      <w:r w:rsidRPr="00B07D2E">
        <w:rPr>
          <w:rFonts w:ascii="Arial" w:hAnsi="Arial" w:cs="Arial"/>
          <w:b/>
          <w:sz w:val="20"/>
        </w:rPr>
        <w:lastRenderedPageBreak/>
        <w:t>Figura 1</w:t>
      </w:r>
    </w:p>
    <w:p w14:paraId="3A52D1E9" w14:textId="425DE22C" w:rsidR="00126A02" w:rsidRPr="00B07D2E" w:rsidRDefault="00126A02" w:rsidP="00126A02">
      <w:pPr>
        <w:spacing w:after="0" w:line="240" w:lineRule="auto"/>
        <w:jc w:val="both"/>
        <w:rPr>
          <w:rFonts w:ascii="Arial" w:hAnsi="Arial" w:cs="Arial"/>
          <w:i/>
          <w:sz w:val="20"/>
        </w:rPr>
      </w:pPr>
      <w:r w:rsidRPr="00B07D2E">
        <w:rPr>
          <w:rFonts w:ascii="Arial" w:hAnsi="Arial" w:cs="Arial"/>
          <w:i/>
          <w:sz w:val="20"/>
        </w:rPr>
        <w:t>Proceso PRISMA</w:t>
      </w:r>
    </w:p>
    <w:p w14:paraId="7E1677E2" w14:textId="106DCB9B" w:rsidR="0074798F" w:rsidRPr="00B07D2E" w:rsidRDefault="00126A02" w:rsidP="00126A02">
      <w:pPr>
        <w:spacing w:after="0" w:line="240" w:lineRule="auto"/>
        <w:jc w:val="center"/>
        <w:rPr>
          <w:rFonts w:ascii="Arial" w:eastAsia="Times New Roman" w:hAnsi="Arial" w:cs="Arial"/>
          <w:kern w:val="0"/>
          <w:sz w:val="20"/>
          <w:szCs w:val="24"/>
          <w:lang w:eastAsia="es-CO"/>
        </w:rPr>
      </w:pPr>
      <w:r w:rsidRPr="00B07D2E">
        <w:rPr>
          <w:noProof/>
        </w:rPr>
        <w:drawing>
          <wp:inline distT="0" distB="0" distL="0" distR="0" wp14:anchorId="5F28BB48" wp14:editId="751AAE76">
            <wp:extent cx="3857625" cy="4095750"/>
            <wp:effectExtent l="0" t="0" r="9525" b="0"/>
            <wp:docPr id="21" name="Imagen 21"/>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7625" cy="4095750"/>
                    </a:xfrm>
                    <a:prstGeom prst="rect">
                      <a:avLst/>
                    </a:prstGeom>
                    <a:noFill/>
                  </pic:spPr>
                </pic:pic>
              </a:graphicData>
            </a:graphic>
          </wp:inline>
        </w:drawing>
      </w:r>
    </w:p>
    <w:p w14:paraId="688A8333" w14:textId="1DF352FE" w:rsidR="00126A02" w:rsidRPr="00B07D2E" w:rsidRDefault="00126A02" w:rsidP="00126A02">
      <w:pPr>
        <w:spacing w:after="0" w:line="240" w:lineRule="auto"/>
        <w:ind w:firstLine="709"/>
        <w:jc w:val="both"/>
        <w:rPr>
          <w:rFonts w:ascii="Arial" w:hAnsi="Arial" w:cs="Arial"/>
          <w:kern w:val="0"/>
        </w:rPr>
      </w:pPr>
      <w:r w:rsidRPr="00B07D2E">
        <w:rPr>
          <w:rFonts w:ascii="Arial" w:hAnsi="Arial" w:cs="Arial"/>
          <w:sz w:val="20"/>
        </w:rPr>
        <w:t xml:space="preserve">El proceso metodológico fue compuesto por las siguientes fases: </w:t>
      </w:r>
      <w:r w:rsidRPr="00B07D2E">
        <w:rPr>
          <w:rFonts w:ascii="Arial" w:hAnsi="Arial" w:cs="Arial"/>
          <w:i/>
          <w:sz w:val="20"/>
        </w:rPr>
        <w:t>Identificación</w:t>
      </w:r>
      <w:r w:rsidRPr="00B07D2E">
        <w:rPr>
          <w:rFonts w:ascii="Arial" w:hAnsi="Arial" w:cs="Arial"/>
          <w:sz w:val="20"/>
        </w:rPr>
        <w:t xml:space="preserve">: se realizaron búsquedas exhaustivas en bases de datos académicas, repositorios legales y fuentes oficiales, utilizando palabras clave como "feminicidio", "homicidio", "derecho penal" y "género". Se identificaron inicialmente 150 documentos relevantes. </w:t>
      </w:r>
      <w:r w:rsidRPr="00B07D2E">
        <w:rPr>
          <w:rFonts w:ascii="Arial" w:hAnsi="Arial" w:cs="Arial"/>
          <w:i/>
          <w:sz w:val="20"/>
        </w:rPr>
        <w:t>Selección</w:t>
      </w:r>
      <w:r w:rsidRPr="00B07D2E">
        <w:rPr>
          <w:rFonts w:ascii="Arial" w:hAnsi="Arial" w:cs="Arial"/>
          <w:sz w:val="20"/>
        </w:rPr>
        <w:t>: tras eliminar duplicados y aplicar filtros preliminares, como relevancia temática y acceso al texto completo, la muestra se redujo a 40 documentos.</w:t>
      </w:r>
      <w:r w:rsidRPr="00B07D2E">
        <w:rPr>
          <w:rFonts w:ascii="Arial" w:hAnsi="Arial" w:cs="Arial"/>
          <w:kern w:val="0"/>
        </w:rPr>
        <w:t xml:space="preserve"> </w:t>
      </w:r>
      <w:r w:rsidRPr="00B07D2E">
        <w:rPr>
          <w:rFonts w:ascii="Arial" w:hAnsi="Arial" w:cs="Arial"/>
          <w:i/>
          <w:sz w:val="20"/>
        </w:rPr>
        <w:t>Elegibilidad:</w:t>
      </w:r>
      <w:r w:rsidRPr="00B07D2E">
        <w:rPr>
          <w:rFonts w:ascii="Arial" w:hAnsi="Arial" w:cs="Arial"/>
          <w:sz w:val="20"/>
        </w:rPr>
        <w:t xml:space="preserve"> los documentos seleccionados se evaluaron críticamente mediante una matriz de categorización, considerando calidad metodológica, relevancia y aplicabilidad.</w:t>
      </w:r>
      <w:r w:rsidRPr="00B07D2E">
        <w:rPr>
          <w:rFonts w:ascii="Arial" w:hAnsi="Arial" w:cs="Arial"/>
          <w:kern w:val="0"/>
        </w:rPr>
        <w:t xml:space="preserve"> </w:t>
      </w:r>
      <w:r w:rsidRPr="00B07D2E">
        <w:rPr>
          <w:rFonts w:ascii="Arial" w:hAnsi="Arial" w:cs="Arial"/>
          <w:i/>
          <w:sz w:val="20"/>
        </w:rPr>
        <w:t>Inclusión:</w:t>
      </w:r>
      <w:r w:rsidRPr="00B07D2E">
        <w:rPr>
          <w:rFonts w:ascii="Arial" w:hAnsi="Arial" w:cs="Arial"/>
          <w:sz w:val="20"/>
        </w:rPr>
        <w:t xml:space="preserve"> finalmente, se incluyeron 19 estudios que cumplieron con todos los criterios establecidos.</w:t>
      </w:r>
    </w:p>
    <w:p w14:paraId="24D83A15" w14:textId="77777777" w:rsidR="00126A02" w:rsidRPr="00B07D2E" w:rsidRDefault="00126A02" w:rsidP="00126A02">
      <w:pPr>
        <w:spacing w:after="0" w:line="240" w:lineRule="auto"/>
        <w:ind w:firstLine="709"/>
        <w:jc w:val="both"/>
        <w:rPr>
          <w:rFonts w:ascii="Arial" w:hAnsi="Arial" w:cs="Arial"/>
          <w:sz w:val="20"/>
        </w:rPr>
      </w:pPr>
      <w:r w:rsidRPr="00B07D2E">
        <w:rPr>
          <w:rFonts w:ascii="Arial" w:hAnsi="Arial" w:cs="Arial"/>
          <w:sz w:val="20"/>
        </w:rPr>
        <w:t>El análisis cualitativo de los datos, fundamentado en Ortega (2023), resultó clave para desentrañar la complejidad del feminicidio y su diferenciación del homicidio. Este enfoque permitió generar teorías e interpretaciones significativas a partir de datos no numéricos, integrando perspectivas legales, culturales y sociales sobre el fenómeno.</w:t>
      </w:r>
    </w:p>
    <w:p w14:paraId="6EF5649F" w14:textId="77777777" w:rsidR="00126A02" w:rsidRPr="00B07D2E" w:rsidRDefault="00126A02" w:rsidP="00E271E2">
      <w:pPr>
        <w:spacing w:after="0" w:line="240" w:lineRule="auto"/>
        <w:jc w:val="both"/>
        <w:rPr>
          <w:rFonts w:ascii="Arial" w:hAnsi="Arial" w:cs="Arial"/>
          <w:b/>
          <w:bCs/>
        </w:rPr>
      </w:pPr>
    </w:p>
    <w:p w14:paraId="7F50E09F" w14:textId="7EF3EDC4" w:rsidR="00683E7D" w:rsidRDefault="00683E7D" w:rsidP="00E271E2">
      <w:pPr>
        <w:spacing w:after="0" w:line="240" w:lineRule="auto"/>
        <w:jc w:val="both"/>
        <w:rPr>
          <w:rFonts w:ascii="Arial" w:hAnsi="Arial" w:cs="Arial"/>
          <w:b/>
          <w:bCs/>
        </w:rPr>
      </w:pPr>
      <w:r w:rsidRPr="00B07D2E">
        <w:rPr>
          <w:rFonts w:ascii="Arial" w:hAnsi="Arial" w:cs="Arial"/>
          <w:b/>
          <w:bCs/>
        </w:rPr>
        <w:t xml:space="preserve">Resultados </w:t>
      </w:r>
    </w:p>
    <w:p w14:paraId="6477632B" w14:textId="77777777" w:rsidR="00A508CC" w:rsidRPr="00B07D2E" w:rsidRDefault="00A508CC" w:rsidP="00E271E2">
      <w:pPr>
        <w:spacing w:after="0" w:line="240" w:lineRule="auto"/>
        <w:jc w:val="both"/>
        <w:rPr>
          <w:rFonts w:ascii="Arial" w:hAnsi="Arial" w:cs="Arial"/>
          <w:b/>
          <w:bCs/>
        </w:rPr>
      </w:pPr>
    </w:p>
    <w:p w14:paraId="41048C8E" w14:textId="77777777" w:rsidR="00126A02" w:rsidRPr="00B07D2E" w:rsidRDefault="00126A02" w:rsidP="00126A02">
      <w:pPr>
        <w:pStyle w:val="Descripcin"/>
        <w:keepNext/>
        <w:spacing w:after="0" w:line="240" w:lineRule="auto"/>
        <w:rPr>
          <w:rFonts w:ascii="Arial" w:hAnsi="Arial" w:cs="Arial"/>
          <w:kern w:val="0"/>
          <w:szCs w:val="20"/>
        </w:rPr>
      </w:pPr>
      <w:r w:rsidRPr="00B07D2E">
        <w:rPr>
          <w:rFonts w:ascii="Arial" w:hAnsi="Arial" w:cs="Arial"/>
          <w:szCs w:val="20"/>
        </w:rPr>
        <w:t xml:space="preserve">Tabla </w:t>
      </w:r>
      <w:r w:rsidRPr="00B07D2E">
        <w:rPr>
          <w:rFonts w:ascii="Arial" w:hAnsi="Arial" w:cs="Arial"/>
          <w:szCs w:val="20"/>
        </w:rPr>
        <w:fldChar w:fldCharType="begin"/>
      </w:r>
      <w:r w:rsidRPr="00B07D2E">
        <w:rPr>
          <w:rFonts w:ascii="Arial" w:hAnsi="Arial" w:cs="Arial"/>
          <w:szCs w:val="20"/>
        </w:rPr>
        <w:instrText xml:space="preserve"> SEQ Tabla \* ARABIC </w:instrText>
      </w:r>
      <w:r w:rsidRPr="00B07D2E">
        <w:rPr>
          <w:rFonts w:ascii="Arial" w:hAnsi="Arial" w:cs="Arial"/>
          <w:szCs w:val="20"/>
        </w:rPr>
        <w:fldChar w:fldCharType="separate"/>
      </w:r>
      <w:r w:rsidRPr="00B07D2E">
        <w:rPr>
          <w:rFonts w:ascii="Arial" w:hAnsi="Arial" w:cs="Arial"/>
          <w:noProof/>
          <w:szCs w:val="20"/>
        </w:rPr>
        <w:t>1</w:t>
      </w:r>
      <w:r w:rsidRPr="00B07D2E">
        <w:rPr>
          <w:rFonts w:ascii="Arial" w:hAnsi="Arial" w:cs="Arial"/>
          <w:szCs w:val="20"/>
        </w:rPr>
        <w:fldChar w:fldCharType="end"/>
      </w:r>
    </w:p>
    <w:p w14:paraId="6690F9D4" w14:textId="77777777" w:rsidR="00126A02" w:rsidRPr="00B07D2E" w:rsidRDefault="00126A02" w:rsidP="00126A02">
      <w:pPr>
        <w:spacing w:after="0" w:line="240" w:lineRule="auto"/>
        <w:rPr>
          <w:rFonts w:ascii="Arial" w:hAnsi="Arial" w:cs="Arial"/>
          <w:bCs/>
          <w:i/>
          <w:sz w:val="20"/>
          <w:szCs w:val="20"/>
          <w:lang w:val="es-US"/>
        </w:rPr>
      </w:pPr>
      <w:r w:rsidRPr="00B07D2E">
        <w:rPr>
          <w:rFonts w:ascii="Arial" w:hAnsi="Arial" w:cs="Arial"/>
          <w:bCs/>
          <w:i/>
          <w:sz w:val="20"/>
          <w:szCs w:val="20"/>
          <w:lang w:val="es-US"/>
        </w:rPr>
        <w:t xml:space="preserve">Resultados del análisis documental </w:t>
      </w:r>
    </w:p>
    <w:tbl>
      <w:tblPr>
        <w:tblStyle w:val="Tablaconcuadrcula"/>
        <w:tblW w:w="5000" w:type="pct"/>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5"/>
        <w:gridCol w:w="1524"/>
        <w:gridCol w:w="2006"/>
        <w:gridCol w:w="2515"/>
        <w:gridCol w:w="2842"/>
      </w:tblGrid>
      <w:tr w:rsidR="00126A02" w:rsidRPr="00B07D2E" w14:paraId="6FA43058" w14:textId="77777777" w:rsidTr="00126A02">
        <w:trPr>
          <w:trHeight w:val="113"/>
        </w:trPr>
        <w:tc>
          <w:tcPr>
            <w:tcW w:w="544" w:type="pct"/>
            <w:tcBorders>
              <w:top w:val="single" w:sz="4" w:space="0" w:color="auto"/>
              <w:left w:val="nil"/>
              <w:bottom w:val="single" w:sz="4" w:space="0" w:color="auto"/>
              <w:right w:val="nil"/>
            </w:tcBorders>
            <w:vAlign w:val="center"/>
            <w:hideMark/>
          </w:tcPr>
          <w:p w14:paraId="62CD167A" w14:textId="77777777" w:rsidR="00126A02" w:rsidRPr="00B07D2E" w:rsidRDefault="00126A02" w:rsidP="00126A02">
            <w:pPr>
              <w:spacing w:after="0" w:line="240" w:lineRule="auto"/>
              <w:jc w:val="center"/>
              <w:rPr>
                <w:rFonts w:ascii="Arial" w:hAnsi="Arial" w:cs="Arial"/>
                <w:b/>
                <w:sz w:val="20"/>
                <w:szCs w:val="20"/>
              </w:rPr>
            </w:pPr>
            <w:r w:rsidRPr="00B07D2E">
              <w:rPr>
                <w:rFonts w:ascii="Arial" w:hAnsi="Arial" w:cs="Arial"/>
                <w:b/>
                <w:sz w:val="20"/>
                <w:szCs w:val="20"/>
              </w:rPr>
              <w:t>#</w:t>
            </w:r>
          </w:p>
        </w:tc>
        <w:tc>
          <w:tcPr>
            <w:tcW w:w="764" w:type="pct"/>
            <w:tcBorders>
              <w:top w:val="single" w:sz="4" w:space="0" w:color="auto"/>
              <w:left w:val="nil"/>
              <w:bottom w:val="single" w:sz="4" w:space="0" w:color="auto"/>
              <w:right w:val="nil"/>
            </w:tcBorders>
            <w:vAlign w:val="center"/>
            <w:hideMark/>
          </w:tcPr>
          <w:p w14:paraId="70E425B4" w14:textId="77777777" w:rsidR="00126A02" w:rsidRPr="00B07D2E" w:rsidRDefault="00126A02" w:rsidP="00126A02">
            <w:pPr>
              <w:spacing w:after="0" w:line="240" w:lineRule="auto"/>
              <w:jc w:val="center"/>
              <w:rPr>
                <w:rFonts w:ascii="Arial" w:hAnsi="Arial" w:cs="Arial"/>
                <w:b/>
                <w:sz w:val="20"/>
                <w:szCs w:val="20"/>
                <w:lang w:val="es-PE"/>
              </w:rPr>
            </w:pPr>
            <w:r w:rsidRPr="00B07D2E">
              <w:rPr>
                <w:rFonts w:ascii="Arial" w:hAnsi="Arial" w:cs="Arial"/>
                <w:b/>
                <w:sz w:val="20"/>
                <w:szCs w:val="20"/>
                <w:lang w:val="es-PE"/>
              </w:rPr>
              <w:t>Autor</w:t>
            </w:r>
          </w:p>
        </w:tc>
        <w:tc>
          <w:tcPr>
            <w:tcW w:w="1006" w:type="pct"/>
            <w:tcBorders>
              <w:top w:val="single" w:sz="4" w:space="0" w:color="auto"/>
              <w:left w:val="nil"/>
              <w:bottom w:val="single" w:sz="4" w:space="0" w:color="auto"/>
              <w:right w:val="nil"/>
            </w:tcBorders>
            <w:vAlign w:val="center"/>
            <w:hideMark/>
          </w:tcPr>
          <w:p w14:paraId="7B874CFE" w14:textId="77777777" w:rsidR="00126A02" w:rsidRPr="00B07D2E" w:rsidRDefault="00126A02" w:rsidP="00126A02">
            <w:pPr>
              <w:spacing w:after="0" w:line="240" w:lineRule="auto"/>
              <w:jc w:val="center"/>
              <w:rPr>
                <w:rFonts w:ascii="Arial" w:hAnsi="Arial" w:cs="Arial"/>
                <w:b/>
                <w:sz w:val="20"/>
                <w:szCs w:val="20"/>
                <w:lang w:val="es-PE"/>
              </w:rPr>
            </w:pPr>
            <w:r w:rsidRPr="00B07D2E">
              <w:rPr>
                <w:rFonts w:ascii="Arial" w:hAnsi="Arial" w:cs="Arial"/>
                <w:b/>
                <w:sz w:val="20"/>
                <w:szCs w:val="20"/>
                <w:lang w:val="es-PE"/>
              </w:rPr>
              <w:t>Metodología</w:t>
            </w:r>
          </w:p>
        </w:tc>
        <w:tc>
          <w:tcPr>
            <w:tcW w:w="1261" w:type="pct"/>
            <w:tcBorders>
              <w:top w:val="single" w:sz="4" w:space="0" w:color="auto"/>
              <w:left w:val="nil"/>
              <w:bottom w:val="single" w:sz="4" w:space="0" w:color="auto"/>
              <w:right w:val="nil"/>
            </w:tcBorders>
            <w:vAlign w:val="center"/>
            <w:hideMark/>
          </w:tcPr>
          <w:p w14:paraId="10A1ADFA" w14:textId="77777777" w:rsidR="00126A02" w:rsidRPr="00B07D2E" w:rsidRDefault="00126A02" w:rsidP="00126A02">
            <w:pPr>
              <w:spacing w:after="0" w:line="240" w:lineRule="auto"/>
              <w:jc w:val="center"/>
              <w:rPr>
                <w:rFonts w:ascii="Arial" w:hAnsi="Arial" w:cs="Arial"/>
                <w:b/>
                <w:sz w:val="20"/>
                <w:szCs w:val="20"/>
                <w:lang w:val="es-PE"/>
              </w:rPr>
            </w:pPr>
            <w:r w:rsidRPr="00B07D2E">
              <w:rPr>
                <w:rFonts w:ascii="Arial" w:hAnsi="Arial" w:cs="Arial"/>
                <w:b/>
                <w:sz w:val="20"/>
                <w:szCs w:val="20"/>
                <w:lang w:val="es-PE"/>
              </w:rPr>
              <w:t>Resultados</w:t>
            </w:r>
          </w:p>
        </w:tc>
        <w:tc>
          <w:tcPr>
            <w:tcW w:w="1425" w:type="pct"/>
            <w:tcBorders>
              <w:top w:val="single" w:sz="4" w:space="0" w:color="auto"/>
              <w:left w:val="nil"/>
              <w:bottom w:val="single" w:sz="4" w:space="0" w:color="auto"/>
              <w:right w:val="nil"/>
            </w:tcBorders>
            <w:vAlign w:val="center"/>
            <w:hideMark/>
          </w:tcPr>
          <w:p w14:paraId="259C137C" w14:textId="77777777" w:rsidR="00126A02" w:rsidRPr="00B07D2E" w:rsidRDefault="00126A02" w:rsidP="00126A02">
            <w:pPr>
              <w:spacing w:after="0" w:line="240" w:lineRule="auto"/>
              <w:jc w:val="center"/>
              <w:rPr>
                <w:rFonts w:ascii="Arial" w:hAnsi="Arial" w:cs="Arial"/>
                <w:b/>
                <w:sz w:val="20"/>
                <w:szCs w:val="20"/>
                <w:lang w:val="es-PE"/>
              </w:rPr>
            </w:pPr>
            <w:r w:rsidRPr="00B07D2E">
              <w:rPr>
                <w:rFonts w:ascii="Arial" w:hAnsi="Arial" w:cs="Arial"/>
                <w:b/>
                <w:sz w:val="20"/>
                <w:szCs w:val="20"/>
                <w:lang w:val="es-PE"/>
              </w:rPr>
              <w:t>Conclusiones</w:t>
            </w:r>
          </w:p>
        </w:tc>
      </w:tr>
      <w:tr w:rsidR="00126A02" w:rsidRPr="00B07D2E" w14:paraId="429BA566" w14:textId="77777777" w:rsidTr="00126A02">
        <w:trPr>
          <w:trHeight w:val="113"/>
        </w:trPr>
        <w:tc>
          <w:tcPr>
            <w:tcW w:w="544" w:type="pct"/>
            <w:tcBorders>
              <w:top w:val="single" w:sz="4" w:space="0" w:color="auto"/>
              <w:left w:val="nil"/>
              <w:bottom w:val="nil"/>
              <w:right w:val="nil"/>
            </w:tcBorders>
            <w:vAlign w:val="center"/>
          </w:tcPr>
          <w:p w14:paraId="08DF97EF"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rPr>
            </w:pPr>
          </w:p>
        </w:tc>
        <w:tc>
          <w:tcPr>
            <w:tcW w:w="764" w:type="pct"/>
            <w:tcBorders>
              <w:top w:val="single" w:sz="4" w:space="0" w:color="auto"/>
              <w:left w:val="nil"/>
              <w:bottom w:val="nil"/>
              <w:right w:val="nil"/>
            </w:tcBorders>
            <w:vAlign w:val="center"/>
            <w:hideMark/>
          </w:tcPr>
          <w:p w14:paraId="04D457F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Aldrete y Fernández (2023)</w:t>
            </w:r>
          </w:p>
        </w:tc>
        <w:tc>
          <w:tcPr>
            <w:tcW w:w="1006" w:type="pct"/>
            <w:tcBorders>
              <w:top w:val="single" w:sz="4" w:space="0" w:color="auto"/>
              <w:left w:val="nil"/>
              <w:bottom w:val="nil"/>
              <w:right w:val="nil"/>
            </w:tcBorders>
            <w:vAlign w:val="center"/>
            <w:hideMark/>
          </w:tcPr>
          <w:p w14:paraId="613F2B51"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Análisis de contenido</w:t>
            </w:r>
          </w:p>
        </w:tc>
        <w:tc>
          <w:tcPr>
            <w:tcW w:w="1261" w:type="pct"/>
            <w:tcBorders>
              <w:top w:val="single" w:sz="4" w:space="0" w:color="auto"/>
              <w:left w:val="nil"/>
              <w:bottom w:val="nil"/>
              <w:right w:val="nil"/>
            </w:tcBorders>
            <w:vAlign w:val="center"/>
            <w:hideMark/>
          </w:tcPr>
          <w:p w14:paraId="4F6DB00C"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Los medios de comunicación reproducen estereotipos y prejuicios sobre el feminicidio, lo que contribuye a la invisibilización y la estigmatización de las víctimas.</w:t>
            </w:r>
          </w:p>
        </w:tc>
        <w:tc>
          <w:tcPr>
            <w:tcW w:w="1425" w:type="pct"/>
            <w:tcBorders>
              <w:top w:val="single" w:sz="4" w:space="0" w:color="auto"/>
              <w:left w:val="nil"/>
              <w:bottom w:val="nil"/>
              <w:right w:val="nil"/>
            </w:tcBorders>
            <w:vAlign w:val="center"/>
            <w:hideMark/>
          </w:tcPr>
          <w:p w14:paraId="3E078C3C"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 necesario promover marcos contextuales y políticos en la representación mediática del feminicidio.</w:t>
            </w:r>
          </w:p>
        </w:tc>
      </w:tr>
      <w:tr w:rsidR="00126A02" w:rsidRPr="00B07D2E" w14:paraId="69D13999" w14:textId="77777777" w:rsidTr="00126A02">
        <w:trPr>
          <w:trHeight w:val="113"/>
        </w:trPr>
        <w:tc>
          <w:tcPr>
            <w:tcW w:w="544" w:type="pct"/>
            <w:tcBorders>
              <w:top w:val="nil"/>
              <w:left w:val="nil"/>
              <w:bottom w:val="nil"/>
              <w:right w:val="nil"/>
            </w:tcBorders>
            <w:vAlign w:val="center"/>
          </w:tcPr>
          <w:p w14:paraId="68251E75"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730E57A0"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Bejarano (2014)</w:t>
            </w:r>
          </w:p>
        </w:tc>
        <w:tc>
          <w:tcPr>
            <w:tcW w:w="1006" w:type="pct"/>
            <w:tcBorders>
              <w:top w:val="nil"/>
              <w:left w:val="nil"/>
              <w:bottom w:val="nil"/>
              <w:right w:val="nil"/>
            </w:tcBorders>
            <w:vAlign w:val="center"/>
            <w:hideMark/>
          </w:tcPr>
          <w:p w14:paraId="08448F43"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Investigación cualitativa</w:t>
            </w:r>
          </w:p>
        </w:tc>
        <w:tc>
          <w:tcPr>
            <w:tcW w:w="1261" w:type="pct"/>
            <w:tcBorders>
              <w:top w:val="nil"/>
              <w:left w:val="nil"/>
              <w:bottom w:val="nil"/>
              <w:right w:val="nil"/>
            </w:tcBorders>
            <w:vAlign w:val="center"/>
            <w:hideMark/>
          </w:tcPr>
          <w:p w14:paraId="4938B3D0"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feminicidio representa un fenómeno de carácter estructural que se expresa a través de múltiples formas de violencia hacia las mujeres. Existen aún factores culturales que fomentan y permiten la agresión contra ellas, siendo el feminicidio la forma más extrema de dicha violencia.</w:t>
            </w:r>
          </w:p>
        </w:tc>
        <w:tc>
          <w:tcPr>
            <w:tcW w:w="1425" w:type="pct"/>
            <w:tcBorders>
              <w:top w:val="nil"/>
              <w:left w:val="nil"/>
              <w:bottom w:val="nil"/>
              <w:right w:val="nil"/>
            </w:tcBorders>
            <w:vAlign w:val="center"/>
            <w:hideMark/>
          </w:tcPr>
          <w:p w14:paraId="1F570E6D"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 necesario un cambio cultural profundo para erradicar la violencia feminicida.</w:t>
            </w:r>
          </w:p>
        </w:tc>
      </w:tr>
      <w:tr w:rsidR="00126A02" w:rsidRPr="00B07D2E" w14:paraId="660F37C7" w14:textId="77777777" w:rsidTr="00126A02">
        <w:trPr>
          <w:trHeight w:val="113"/>
        </w:trPr>
        <w:tc>
          <w:tcPr>
            <w:tcW w:w="544" w:type="pct"/>
            <w:tcBorders>
              <w:top w:val="nil"/>
              <w:left w:val="nil"/>
              <w:bottom w:val="nil"/>
              <w:right w:val="nil"/>
            </w:tcBorders>
            <w:vAlign w:val="center"/>
          </w:tcPr>
          <w:p w14:paraId="1A9B7FCC"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5A82671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Borrero (2021)</w:t>
            </w:r>
          </w:p>
        </w:tc>
        <w:tc>
          <w:tcPr>
            <w:tcW w:w="1006" w:type="pct"/>
            <w:tcBorders>
              <w:top w:val="nil"/>
              <w:left w:val="nil"/>
              <w:bottom w:val="nil"/>
              <w:right w:val="nil"/>
            </w:tcBorders>
            <w:vAlign w:val="center"/>
            <w:hideMark/>
          </w:tcPr>
          <w:p w14:paraId="57B996C0"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Análisis normativo</w:t>
            </w:r>
          </w:p>
        </w:tc>
        <w:tc>
          <w:tcPr>
            <w:tcW w:w="1261" w:type="pct"/>
            <w:tcBorders>
              <w:top w:val="nil"/>
              <w:left w:val="nil"/>
              <w:bottom w:val="nil"/>
              <w:right w:val="nil"/>
            </w:tcBorders>
            <w:vAlign w:val="center"/>
            <w:hideMark/>
          </w:tcPr>
          <w:p w14:paraId="05D922D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delito de feminicidio y transfeminicidio en Puerto Rico ha sido calificado como inconstitucional debido a su carácter discriminatorio y a su falta de conformidad con los estándares internacionales de derechos humanos.</w:t>
            </w:r>
          </w:p>
        </w:tc>
        <w:tc>
          <w:tcPr>
            <w:tcW w:w="1425" w:type="pct"/>
            <w:tcBorders>
              <w:top w:val="nil"/>
              <w:left w:val="nil"/>
              <w:bottom w:val="nil"/>
              <w:right w:val="nil"/>
            </w:tcBorders>
            <w:vAlign w:val="center"/>
            <w:hideMark/>
          </w:tcPr>
          <w:p w14:paraId="761A3279"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En Puerto Rico, la tipificación del feminicidio presenta limitaciones y carece de disposiciones sobre el transfeminicidio. Esto evidencia la necesidad de reformas legales que garanticen una protección completa contra la violencia letal de género.</w:t>
            </w:r>
          </w:p>
        </w:tc>
      </w:tr>
      <w:tr w:rsidR="00126A02" w:rsidRPr="00B07D2E" w14:paraId="5EE0C793" w14:textId="77777777" w:rsidTr="00126A02">
        <w:trPr>
          <w:trHeight w:val="113"/>
        </w:trPr>
        <w:tc>
          <w:tcPr>
            <w:tcW w:w="544" w:type="pct"/>
            <w:tcBorders>
              <w:top w:val="nil"/>
              <w:left w:val="nil"/>
              <w:bottom w:val="nil"/>
              <w:right w:val="nil"/>
            </w:tcBorders>
            <w:vAlign w:val="center"/>
          </w:tcPr>
          <w:p w14:paraId="70DBB5D1"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37DAFBAD"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Burin (2021)</w:t>
            </w:r>
          </w:p>
        </w:tc>
        <w:tc>
          <w:tcPr>
            <w:tcW w:w="1006" w:type="pct"/>
            <w:tcBorders>
              <w:top w:val="nil"/>
              <w:left w:val="nil"/>
              <w:bottom w:val="nil"/>
              <w:right w:val="nil"/>
            </w:tcBorders>
            <w:vAlign w:val="center"/>
            <w:hideMark/>
          </w:tcPr>
          <w:p w14:paraId="66F5F349"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Estudio cuantitativo, basado en un análisis de datos estadísticos.</w:t>
            </w:r>
          </w:p>
        </w:tc>
        <w:tc>
          <w:tcPr>
            <w:tcW w:w="1261" w:type="pct"/>
            <w:tcBorders>
              <w:top w:val="nil"/>
              <w:left w:val="nil"/>
              <w:bottom w:val="nil"/>
              <w:right w:val="nil"/>
            </w:tcBorders>
            <w:vAlign w:val="center"/>
          </w:tcPr>
          <w:p w14:paraId="048336C0"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feminicidio se ha convertido en una problemática en aumento en América Latina.</w:t>
            </w:r>
          </w:p>
          <w:p w14:paraId="38D82790" w14:textId="77777777" w:rsidR="00126A02" w:rsidRPr="00B07D2E" w:rsidRDefault="00126A02" w:rsidP="00126A02">
            <w:pPr>
              <w:spacing w:after="0" w:line="240" w:lineRule="auto"/>
              <w:jc w:val="center"/>
              <w:rPr>
                <w:rFonts w:ascii="Arial" w:hAnsi="Arial" w:cs="Arial"/>
                <w:sz w:val="20"/>
                <w:szCs w:val="20"/>
                <w:lang w:val="es-PE"/>
              </w:rPr>
            </w:pPr>
          </w:p>
        </w:tc>
        <w:tc>
          <w:tcPr>
            <w:tcW w:w="1425" w:type="pct"/>
            <w:tcBorders>
              <w:top w:val="nil"/>
              <w:left w:val="nil"/>
              <w:bottom w:val="nil"/>
              <w:right w:val="nil"/>
            </w:tcBorders>
            <w:vAlign w:val="center"/>
            <w:hideMark/>
          </w:tcPr>
          <w:p w14:paraId="5772818C"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Estado debe invertir en políticas públicas para prevenir y sancionar el feminicidio.</w:t>
            </w:r>
          </w:p>
        </w:tc>
      </w:tr>
      <w:tr w:rsidR="00126A02" w:rsidRPr="00B07D2E" w14:paraId="22371328" w14:textId="77777777" w:rsidTr="00126A02">
        <w:trPr>
          <w:trHeight w:val="113"/>
        </w:trPr>
        <w:tc>
          <w:tcPr>
            <w:tcW w:w="544" w:type="pct"/>
            <w:tcBorders>
              <w:top w:val="nil"/>
              <w:left w:val="nil"/>
              <w:bottom w:val="nil"/>
              <w:right w:val="nil"/>
            </w:tcBorders>
            <w:vAlign w:val="center"/>
          </w:tcPr>
          <w:p w14:paraId="70554BEF"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134F017E"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Carrigan y Dawson (2020)</w:t>
            </w:r>
          </w:p>
        </w:tc>
        <w:tc>
          <w:tcPr>
            <w:tcW w:w="1006" w:type="pct"/>
            <w:tcBorders>
              <w:top w:val="nil"/>
              <w:left w:val="nil"/>
              <w:bottom w:val="nil"/>
              <w:right w:val="nil"/>
            </w:tcBorders>
            <w:vAlign w:val="center"/>
            <w:hideMark/>
          </w:tcPr>
          <w:p w14:paraId="58F90761"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Análisis de contenido</w:t>
            </w:r>
          </w:p>
        </w:tc>
        <w:tc>
          <w:tcPr>
            <w:tcW w:w="1261" w:type="pct"/>
            <w:tcBorders>
              <w:top w:val="nil"/>
              <w:left w:val="nil"/>
              <w:bottom w:val="nil"/>
              <w:right w:val="nil"/>
            </w:tcBorders>
            <w:vAlign w:val="center"/>
          </w:tcPr>
          <w:p w14:paraId="649CEE73"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Las leyes sobre feminicidio en América Latina reflejan estereotipos y prejuicios hacia las mujeres, lo cual favorece la impunidad de quienes cometen estos actos violentos.</w:t>
            </w:r>
          </w:p>
          <w:p w14:paraId="7374A64A" w14:textId="77777777" w:rsidR="00126A02" w:rsidRPr="00B07D2E" w:rsidRDefault="00126A02" w:rsidP="00126A02">
            <w:pPr>
              <w:spacing w:after="0" w:line="240" w:lineRule="auto"/>
              <w:jc w:val="center"/>
              <w:rPr>
                <w:rFonts w:ascii="Arial" w:hAnsi="Arial" w:cs="Arial"/>
                <w:sz w:val="20"/>
                <w:szCs w:val="20"/>
                <w:lang w:val="es-PE"/>
              </w:rPr>
            </w:pPr>
          </w:p>
        </w:tc>
        <w:tc>
          <w:tcPr>
            <w:tcW w:w="1425" w:type="pct"/>
            <w:tcBorders>
              <w:top w:val="nil"/>
              <w:left w:val="nil"/>
              <w:bottom w:val="nil"/>
              <w:right w:val="nil"/>
            </w:tcBorders>
            <w:vAlign w:val="center"/>
            <w:hideMark/>
          </w:tcPr>
          <w:p w14:paraId="5D1C5007"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Las normas predominantes tienden a despolitizar y reducir a lo personal la violencia contra las mujeres, haciendo indispensable cuestionar aquellas representaciones que ocultan la naturaleza estructural del feminicidio.</w:t>
            </w:r>
          </w:p>
        </w:tc>
      </w:tr>
      <w:tr w:rsidR="00126A02" w:rsidRPr="00B07D2E" w14:paraId="636AF320" w14:textId="77777777" w:rsidTr="00126A02">
        <w:trPr>
          <w:trHeight w:val="113"/>
        </w:trPr>
        <w:tc>
          <w:tcPr>
            <w:tcW w:w="544" w:type="pct"/>
            <w:tcBorders>
              <w:top w:val="nil"/>
              <w:left w:val="nil"/>
              <w:bottom w:val="nil"/>
              <w:right w:val="nil"/>
            </w:tcBorders>
            <w:vAlign w:val="center"/>
          </w:tcPr>
          <w:p w14:paraId="35E6AD9D" w14:textId="77777777" w:rsidR="00126A02" w:rsidRPr="00B07D2E" w:rsidRDefault="00126A02" w:rsidP="00126A02">
            <w:pPr>
              <w:pStyle w:val="Prrafodelista"/>
              <w:numPr>
                <w:ilvl w:val="0"/>
                <w:numId w:val="1"/>
              </w:numPr>
              <w:spacing w:before="0" w:after="0" w:line="240" w:lineRule="auto"/>
              <w:ind w:left="0" w:firstLine="0"/>
              <w:jc w:val="center"/>
              <w:rPr>
                <w:rFonts w:ascii="Arial" w:eastAsia="Times New Roman" w:hAnsi="Arial" w:cs="Arial"/>
                <w:bCs/>
                <w:sz w:val="20"/>
                <w:lang w:val="es-VE" w:eastAsia="es-PE"/>
              </w:rPr>
            </w:pPr>
          </w:p>
        </w:tc>
        <w:tc>
          <w:tcPr>
            <w:tcW w:w="764" w:type="pct"/>
            <w:tcBorders>
              <w:top w:val="nil"/>
              <w:left w:val="nil"/>
              <w:bottom w:val="nil"/>
              <w:right w:val="nil"/>
            </w:tcBorders>
            <w:vAlign w:val="center"/>
            <w:hideMark/>
          </w:tcPr>
          <w:p w14:paraId="6D9F2FD5"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bCs/>
                <w:sz w:val="20"/>
                <w:szCs w:val="20"/>
                <w:lang w:val="es-PE" w:eastAsia="es-PE"/>
              </w:rPr>
              <w:t>Cortés (2020)</w:t>
            </w:r>
          </w:p>
        </w:tc>
        <w:tc>
          <w:tcPr>
            <w:tcW w:w="1006" w:type="pct"/>
            <w:tcBorders>
              <w:top w:val="nil"/>
              <w:left w:val="nil"/>
              <w:bottom w:val="nil"/>
              <w:right w:val="nil"/>
            </w:tcBorders>
            <w:vAlign w:val="center"/>
            <w:hideMark/>
          </w:tcPr>
          <w:p w14:paraId="0EFAE961"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Estudio doctrinal, basado en un análisis de la legislación y la jurisprudencia.</w:t>
            </w:r>
          </w:p>
        </w:tc>
        <w:tc>
          <w:tcPr>
            <w:tcW w:w="1261" w:type="pct"/>
            <w:tcBorders>
              <w:top w:val="nil"/>
              <w:left w:val="nil"/>
              <w:bottom w:val="nil"/>
              <w:right w:val="nil"/>
            </w:tcBorders>
            <w:vAlign w:val="center"/>
            <w:hideMark/>
          </w:tcPr>
          <w:p w14:paraId="4AD7F066"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El feminicidio no constituye un delito específico de género, sino una forma agravada del delito de homicidio.</w:t>
            </w:r>
          </w:p>
        </w:tc>
        <w:tc>
          <w:tcPr>
            <w:tcW w:w="1425" w:type="pct"/>
            <w:tcBorders>
              <w:top w:val="nil"/>
              <w:left w:val="nil"/>
              <w:bottom w:val="nil"/>
              <w:right w:val="nil"/>
            </w:tcBorders>
            <w:vAlign w:val="center"/>
            <w:hideMark/>
          </w:tcPr>
          <w:p w14:paraId="592E61CE"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Es responsabilidad del Estado asegurar que todas las víctimas de homicidio tengan acceso a la justicia, sin distinción alguna en cuanto al género de la víctima.</w:t>
            </w:r>
          </w:p>
        </w:tc>
      </w:tr>
      <w:tr w:rsidR="00126A02" w:rsidRPr="00B07D2E" w14:paraId="6F011C5A" w14:textId="77777777" w:rsidTr="00126A02">
        <w:trPr>
          <w:trHeight w:val="113"/>
        </w:trPr>
        <w:tc>
          <w:tcPr>
            <w:tcW w:w="544" w:type="pct"/>
            <w:tcBorders>
              <w:top w:val="nil"/>
              <w:left w:val="nil"/>
              <w:bottom w:val="nil"/>
              <w:right w:val="nil"/>
            </w:tcBorders>
            <w:vAlign w:val="center"/>
          </w:tcPr>
          <w:p w14:paraId="18FE03EB"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eastAsia="en-US"/>
              </w:rPr>
            </w:pPr>
          </w:p>
        </w:tc>
        <w:tc>
          <w:tcPr>
            <w:tcW w:w="764" w:type="pct"/>
            <w:tcBorders>
              <w:top w:val="nil"/>
              <w:left w:val="nil"/>
              <w:bottom w:val="nil"/>
              <w:right w:val="nil"/>
            </w:tcBorders>
            <w:vAlign w:val="center"/>
            <w:hideMark/>
          </w:tcPr>
          <w:p w14:paraId="63E91A6C"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D'Ignazio, et al. (2022)</w:t>
            </w:r>
          </w:p>
        </w:tc>
        <w:tc>
          <w:tcPr>
            <w:tcW w:w="1006" w:type="pct"/>
            <w:tcBorders>
              <w:top w:val="nil"/>
              <w:left w:val="nil"/>
              <w:bottom w:val="nil"/>
              <w:right w:val="nil"/>
            </w:tcBorders>
            <w:vAlign w:val="center"/>
            <w:hideMark/>
          </w:tcPr>
          <w:p w14:paraId="00A78917"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Estudio cualitativo</w:t>
            </w:r>
          </w:p>
        </w:tc>
        <w:tc>
          <w:tcPr>
            <w:tcW w:w="1261" w:type="pct"/>
            <w:tcBorders>
              <w:top w:val="nil"/>
              <w:left w:val="nil"/>
              <w:bottom w:val="nil"/>
              <w:right w:val="nil"/>
            </w:tcBorders>
            <w:vAlign w:val="center"/>
            <w:hideMark/>
          </w:tcPr>
          <w:p w14:paraId="3642E164"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Las iniciativas de activismo que se centran en monitorear y cuestionar la violencia de género mediante la generación de datos alternativos son esenciales para visibilizar el problema del feminicidio.</w:t>
            </w:r>
          </w:p>
        </w:tc>
        <w:tc>
          <w:tcPr>
            <w:tcW w:w="1425" w:type="pct"/>
            <w:tcBorders>
              <w:top w:val="nil"/>
              <w:left w:val="nil"/>
              <w:bottom w:val="nil"/>
              <w:right w:val="nil"/>
            </w:tcBorders>
            <w:vAlign w:val="center"/>
            <w:hideMark/>
          </w:tcPr>
          <w:p w14:paraId="3ECD8F59"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Generar contradatos se ha convertido en una estrategia clave dentro del activismo en contra de los actos de violencia basada en el género.</w:t>
            </w:r>
          </w:p>
        </w:tc>
      </w:tr>
      <w:tr w:rsidR="00126A02" w:rsidRPr="00B07D2E" w14:paraId="0B9FC0DC" w14:textId="77777777" w:rsidTr="00126A02">
        <w:trPr>
          <w:trHeight w:val="113"/>
        </w:trPr>
        <w:tc>
          <w:tcPr>
            <w:tcW w:w="544" w:type="pct"/>
            <w:tcBorders>
              <w:top w:val="nil"/>
              <w:left w:val="nil"/>
              <w:bottom w:val="nil"/>
              <w:right w:val="nil"/>
            </w:tcBorders>
            <w:vAlign w:val="center"/>
          </w:tcPr>
          <w:p w14:paraId="18A98C6D"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3B7D0272"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Frías (2023)</w:t>
            </w:r>
          </w:p>
        </w:tc>
        <w:tc>
          <w:tcPr>
            <w:tcW w:w="1006" w:type="pct"/>
            <w:tcBorders>
              <w:top w:val="nil"/>
              <w:left w:val="nil"/>
              <w:bottom w:val="nil"/>
              <w:right w:val="nil"/>
            </w:tcBorders>
            <w:vAlign w:val="center"/>
            <w:hideMark/>
          </w:tcPr>
          <w:p w14:paraId="45D3A8E1"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Análisis comparativo</w:t>
            </w:r>
          </w:p>
        </w:tc>
        <w:tc>
          <w:tcPr>
            <w:tcW w:w="1261" w:type="pct"/>
            <w:tcBorders>
              <w:top w:val="nil"/>
              <w:left w:val="nil"/>
              <w:bottom w:val="nil"/>
              <w:right w:val="nil"/>
            </w:tcBorders>
            <w:vAlign w:val="center"/>
            <w:hideMark/>
          </w:tcPr>
          <w:p w14:paraId="640294EE"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Los patrones y tendencias del feminicidio en México difieren entre las regiones indígenas y no indígenas debido a que existen desiguladades multidemensionales.</w:t>
            </w:r>
          </w:p>
        </w:tc>
        <w:tc>
          <w:tcPr>
            <w:tcW w:w="1425" w:type="pct"/>
            <w:tcBorders>
              <w:top w:val="nil"/>
              <w:left w:val="nil"/>
              <w:bottom w:val="nil"/>
              <w:right w:val="nil"/>
            </w:tcBorders>
            <w:vAlign w:val="center"/>
            <w:hideMark/>
          </w:tcPr>
          <w:p w14:paraId="52185C74"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abordaje del feminicidio debe incorporar enfoque interseccional e intercultural.</w:t>
            </w:r>
          </w:p>
        </w:tc>
      </w:tr>
      <w:tr w:rsidR="00126A02" w:rsidRPr="00B07D2E" w14:paraId="6F36932F" w14:textId="77777777" w:rsidTr="00126A02">
        <w:trPr>
          <w:trHeight w:val="113"/>
        </w:trPr>
        <w:tc>
          <w:tcPr>
            <w:tcW w:w="544" w:type="pct"/>
            <w:tcBorders>
              <w:top w:val="nil"/>
              <w:left w:val="nil"/>
              <w:bottom w:val="nil"/>
              <w:right w:val="nil"/>
            </w:tcBorders>
            <w:vAlign w:val="center"/>
          </w:tcPr>
          <w:p w14:paraId="0AB66EEC"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13CA13A7"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García, et al. (2022)</w:t>
            </w:r>
          </w:p>
        </w:tc>
        <w:tc>
          <w:tcPr>
            <w:tcW w:w="1006" w:type="pct"/>
            <w:tcBorders>
              <w:top w:val="nil"/>
              <w:left w:val="nil"/>
              <w:bottom w:val="nil"/>
              <w:right w:val="nil"/>
            </w:tcBorders>
            <w:vAlign w:val="center"/>
            <w:hideMark/>
          </w:tcPr>
          <w:p w14:paraId="4A609ED2"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Revisión sistemática</w:t>
            </w:r>
          </w:p>
        </w:tc>
        <w:tc>
          <w:tcPr>
            <w:tcW w:w="1261" w:type="pct"/>
            <w:tcBorders>
              <w:top w:val="nil"/>
              <w:left w:val="nil"/>
              <w:bottom w:val="nil"/>
              <w:right w:val="nil"/>
            </w:tcBorders>
            <w:vAlign w:val="center"/>
            <w:hideMark/>
          </w:tcPr>
          <w:p w14:paraId="77B9BE1F"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Las herramientas para evaluar el riesgo de feminicidio en parejas íntimas resultan ser un recurso valioso para prevenir este tipo de delito.</w:t>
            </w:r>
          </w:p>
        </w:tc>
        <w:tc>
          <w:tcPr>
            <w:tcW w:w="1425" w:type="pct"/>
            <w:tcBorders>
              <w:top w:val="nil"/>
              <w:left w:val="nil"/>
              <w:bottom w:val="nil"/>
              <w:right w:val="nil"/>
            </w:tcBorders>
            <w:vAlign w:val="center"/>
            <w:hideMark/>
          </w:tcPr>
          <w:p w14:paraId="2BBF9151"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Se requiere mayor investigación para desarrollar instrumentos predictivos efectivos.</w:t>
            </w:r>
          </w:p>
        </w:tc>
      </w:tr>
      <w:tr w:rsidR="00126A02" w:rsidRPr="00B07D2E" w14:paraId="1FE79A7C" w14:textId="77777777" w:rsidTr="00126A02">
        <w:trPr>
          <w:trHeight w:val="113"/>
        </w:trPr>
        <w:tc>
          <w:tcPr>
            <w:tcW w:w="544" w:type="pct"/>
            <w:tcBorders>
              <w:top w:val="nil"/>
              <w:left w:val="nil"/>
              <w:bottom w:val="nil"/>
              <w:right w:val="nil"/>
            </w:tcBorders>
            <w:vAlign w:val="center"/>
          </w:tcPr>
          <w:p w14:paraId="1BB96C36"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33790A17"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González (2014)</w:t>
            </w:r>
          </w:p>
        </w:tc>
        <w:tc>
          <w:tcPr>
            <w:tcW w:w="1006" w:type="pct"/>
            <w:tcBorders>
              <w:top w:val="nil"/>
              <w:left w:val="nil"/>
              <w:bottom w:val="nil"/>
              <w:right w:val="nil"/>
            </w:tcBorders>
            <w:vAlign w:val="center"/>
            <w:hideMark/>
          </w:tcPr>
          <w:p w14:paraId="4584F038"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Investigación doctrinal</w:t>
            </w:r>
          </w:p>
        </w:tc>
        <w:tc>
          <w:tcPr>
            <w:tcW w:w="1261" w:type="pct"/>
            <w:tcBorders>
              <w:top w:val="nil"/>
              <w:left w:val="nil"/>
              <w:bottom w:val="nil"/>
              <w:right w:val="nil"/>
            </w:tcBorders>
            <w:vAlign w:val="center"/>
          </w:tcPr>
          <w:p w14:paraId="18006259"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derecho penal resulta insuficiente para enfrentar el feminicidio de manera efectiva. Se requiere un enfoque completo que combine políticas de prevención, apoyo a las víctimas y sanción a los responsables.</w:t>
            </w:r>
          </w:p>
          <w:p w14:paraId="61C9A72E" w14:textId="77777777" w:rsidR="00126A02" w:rsidRPr="00B07D2E" w:rsidRDefault="00126A02" w:rsidP="00126A02">
            <w:pPr>
              <w:spacing w:after="0" w:line="240" w:lineRule="auto"/>
              <w:jc w:val="center"/>
              <w:rPr>
                <w:rFonts w:ascii="Arial" w:hAnsi="Arial" w:cs="Arial"/>
                <w:sz w:val="20"/>
                <w:szCs w:val="20"/>
                <w:lang w:val="es-PE"/>
              </w:rPr>
            </w:pPr>
          </w:p>
        </w:tc>
        <w:tc>
          <w:tcPr>
            <w:tcW w:w="1425" w:type="pct"/>
            <w:tcBorders>
              <w:top w:val="nil"/>
              <w:left w:val="nil"/>
              <w:bottom w:val="nil"/>
              <w:right w:val="nil"/>
            </w:tcBorders>
            <w:vAlign w:val="center"/>
            <w:hideMark/>
          </w:tcPr>
          <w:p w14:paraId="101F680E"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 sola tipificación del feminicidio no basta sin un cambio profundo en el sistema judicial y en la sociedad. Por esta razón, es fundamental adoptar un enfoque amplio que trascienda el ámbito penal para prevenir y erradicar los feminicidios.</w:t>
            </w:r>
          </w:p>
        </w:tc>
      </w:tr>
      <w:tr w:rsidR="00126A02" w:rsidRPr="00B07D2E" w14:paraId="5C5CD682" w14:textId="77777777" w:rsidTr="00126A02">
        <w:trPr>
          <w:trHeight w:val="113"/>
        </w:trPr>
        <w:tc>
          <w:tcPr>
            <w:tcW w:w="544" w:type="pct"/>
            <w:tcBorders>
              <w:top w:val="nil"/>
              <w:left w:val="nil"/>
              <w:bottom w:val="nil"/>
              <w:right w:val="nil"/>
            </w:tcBorders>
            <w:vAlign w:val="center"/>
          </w:tcPr>
          <w:p w14:paraId="131E3FC5"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0A812F4D"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McFarlane, et al. (1999)</w:t>
            </w:r>
          </w:p>
        </w:tc>
        <w:tc>
          <w:tcPr>
            <w:tcW w:w="1006" w:type="pct"/>
            <w:tcBorders>
              <w:top w:val="nil"/>
              <w:left w:val="nil"/>
              <w:bottom w:val="nil"/>
              <w:right w:val="nil"/>
            </w:tcBorders>
            <w:vAlign w:val="center"/>
            <w:hideMark/>
          </w:tcPr>
          <w:p w14:paraId="1900626F"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Estudio longitudinal</w:t>
            </w:r>
          </w:p>
        </w:tc>
        <w:tc>
          <w:tcPr>
            <w:tcW w:w="1261" w:type="pct"/>
            <w:tcBorders>
              <w:top w:val="nil"/>
              <w:left w:val="nil"/>
              <w:bottom w:val="nil"/>
              <w:right w:val="nil"/>
            </w:tcBorders>
            <w:vAlign w:val="center"/>
            <w:hideMark/>
          </w:tcPr>
          <w:p w14:paraId="3ECCFE69"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acecho constituye un factor de riesgo significativo para el feminicidio en el contexto de relaciones de pareja íntima.</w:t>
            </w:r>
          </w:p>
        </w:tc>
        <w:tc>
          <w:tcPr>
            <w:tcW w:w="1425" w:type="pct"/>
            <w:tcBorders>
              <w:top w:val="nil"/>
              <w:left w:val="nil"/>
              <w:bottom w:val="nil"/>
              <w:right w:val="nil"/>
            </w:tcBorders>
            <w:vAlign w:val="center"/>
            <w:hideMark/>
          </w:tcPr>
          <w:p w14:paraId="5948E3ED"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 clave identificar y abordar el acecho para prevenir el feminicidio por pareja íntima.</w:t>
            </w:r>
          </w:p>
        </w:tc>
      </w:tr>
      <w:tr w:rsidR="00126A02" w:rsidRPr="00B07D2E" w14:paraId="0C29A13B" w14:textId="77777777" w:rsidTr="00126A02">
        <w:trPr>
          <w:trHeight w:val="113"/>
        </w:trPr>
        <w:tc>
          <w:tcPr>
            <w:tcW w:w="544" w:type="pct"/>
            <w:tcBorders>
              <w:top w:val="nil"/>
              <w:left w:val="nil"/>
              <w:bottom w:val="nil"/>
              <w:right w:val="nil"/>
            </w:tcBorders>
            <w:vAlign w:val="center"/>
          </w:tcPr>
          <w:p w14:paraId="709E2A24"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7EC39D03"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Morcillo (2020)</w:t>
            </w:r>
          </w:p>
        </w:tc>
        <w:tc>
          <w:tcPr>
            <w:tcW w:w="1006" w:type="pct"/>
            <w:tcBorders>
              <w:top w:val="nil"/>
              <w:left w:val="nil"/>
              <w:bottom w:val="nil"/>
              <w:right w:val="nil"/>
            </w:tcBorders>
            <w:vAlign w:val="center"/>
            <w:hideMark/>
          </w:tcPr>
          <w:p w14:paraId="316B78B2"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Estudio doctrinal, basado en un análisis de la legislación y la jurisprudencia.</w:t>
            </w:r>
          </w:p>
        </w:tc>
        <w:tc>
          <w:tcPr>
            <w:tcW w:w="1261" w:type="pct"/>
            <w:tcBorders>
              <w:top w:val="nil"/>
              <w:left w:val="nil"/>
              <w:bottom w:val="nil"/>
              <w:right w:val="nil"/>
            </w:tcBorders>
            <w:vAlign w:val="center"/>
            <w:hideMark/>
          </w:tcPr>
          <w:p w14:paraId="03022134"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feminicidio es un crimen de género que recibe una pena más severa que el homicidio.</w:t>
            </w:r>
          </w:p>
        </w:tc>
        <w:tc>
          <w:tcPr>
            <w:tcW w:w="1425" w:type="pct"/>
            <w:tcBorders>
              <w:top w:val="nil"/>
              <w:left w:val="nil"/>
              <w:bottom w:val="nil"/>
              <w:right w:val="nil"/>
            </w:tcBorders>
            <w:vAlign w:val="center"/>
            <w:hideMark/>
          </w:tcPr>
          <w:p w14:paraId="03C087E2"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Estado tiene la responsabilidad de asegurar que las víctimas de feminicidio tengan acceso a la justicia.</w:t>
            </w:r>
          </w:p>
        </w:tc>
      </w:tr>
      <w:tr w:rsidR="00126A02" w:rsidRPr="00B07D2E" w14:paraId="3D051A37" w14:textId="77777777" w:rsidTr="00126A02">
        <w:trPr>
          <w:trHeight w:val="113"/>
        </w:trPr>
        <w:tc>
          <w:tcPr>
            <w:tcW w:w="544" w:type="pct"/>
            <w:tcBorders>
              <w:top w:val="nil"/>
              <w:left w:val="nil"/>
              <w:bottom w:val="nil"/>
              <w:right w:val="nil"/>
            </w:tcBorders>
            <w:vAlign w:val="center"/>
          </w:tcPr>
          <w:p w14:paraId="341AFA6A" w14:textId="77777777" w:rsidR="00126A02" w:rsidRPr="00B07D2E" w:rsidRDefault="00126A02" w:rsidP="00126A02">
            <w:pPr>
              <w:pStyle w:val="Prrafodelista"/>
              <w:numPr>
                <w:ilvl w:val="0"/>
                <w:numId w:val="1"/>
              </w:numPr>
              <w:spacing w:before="0" w:after="0" w:line="240" w:lineRule="auto"/>
              <w:ind w:left="0" w:firstLine="0"/>
              <w:jc w:val="center"/>
              <w:rPr>
                <w:rFonts w:ascii="Arial" w:eastAsia="Times New Roman" w:hAnsi="Arial" w:cs="Arial"/>
                <w:bCs/>
                <w:sz w:val="20"/>
                <w:lang w:val="es-VE" w:eastAsia="es-PE"/>
              </w:rPr>
            </w:pPr>
          </w:p>
        </w:tc>
        <w:tc>
          <w:tcPr>
            <w:tcW w:w="764" w:type="pct"/>
            <w:tcBorders>
              <w:top w:val="nil"/>
              <w:left w:val="nil"/>
              <w:bottom w:val="nil"/>
              <w:right w:val="nil"/>
            </w:tcBorders>
            <w:vAlign w:val="center"/>
            <w:hideMark/>
          </w:tcPr>
          <w:p w14:paraId="0A05829D"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bCs/>
                <w:sz w:val="20"/>
                <w:szCs w:val="20"/>
                <w:lang w:val="es-PE" w:eastAsia="es-PE"/>
              </w:rPr>
              <w:t>Olavarría (2022)</w:t>
            </w:r>
          </w:p>
        </w:tc>
        <w:tc>
          <w:tcPr>
            <w:tcW w:w="1006" w:type="pct"/>
            <w:tcBorders>
              <w:top w:val="nil"/>
              <w:left w:val="nil"/>
              <w:bottom w:val="nil"/>
              <w:right w:val="nil"/>
            </w:tcBorders>
            <w:vAlign w:val="center"/>
            <w:hideMark/>
          </w:tcPr>
          <w:p w14:paraId="10708646"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Estudio cualitativo, basado en entrevistas a hombres acusados de feminicidio.</w:t>
            </w:r>
          </w:p>
        </w:tc>
        <w:tc>
          <w:tcPr>
            <w:tcW w:w="1261" w:type="pct"/>
            <w:tcBorders>
              <w:top w:val="nil"/>
              <w:left w:val="nil"/>
              <w:bottom w:val="nil"/>
              <w:right w:val="nil"/>
            </w:tcBorders>
            <w:vAlign w:val="center"/>
            <w:hideMark/>
          </w:tcPr>
          <w:p w14:paraId="47DBD89C"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El feminicidio debe considerarse no como un delito de género, sino como un acto de violencia interpersonal.</w:t>
            </w:r>
          </w:p>
        </w:tc>
        <w:tc>
          <w:tcPr>
            <w:tcW w:w="1425" w:type="pct"/>
            <w:tcBorders>
              <w:top w:val="nil"/>
              <w:left w:val="nil"/>
              <w:bottom w:val="nil"/>
              <w:right w:val="nil"/>
            </w:tcBorders>
            <w:vAlign w:val="center"/>
            <w:hideMark/>
          </w:tcPr>
          <w:p w14:paraId="5811C6D1"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El Estado debe centrarse en prevenir la violencia interpersonal, independientemente del género de la víctima.</w:t>
            </w:r>
          </w:p>
        </w:tc>
      </w:tr>
      <w:tr w:rsidR="00126A02" w:rsidRPr="00B07D2E" w14:paraId="3B924D50" w14:textId="77777777" w:rsidTr="00126A02">
        <w:trPr>
          <w:trHeight w:val="113"/>
        </w:trPr>
        <w:tc>
          <w:tcPr>
            <w:tcW w:w="544" w:type="pct"/>
            <w:tcBorders>
              <w:top w:val="nil"/>
              <w:left w:val="nil"/>
              <w:bottom w:val="nil"/>
              <w:right w:val="nil"/>
            </w:tcBorders>
            <w:vAlign w:val="center"/>
          </w:tcPr>
          <w:p w14:paraId="07CB851A"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eastAsia="en-US"/>
              </w:rPr>
            </w:pPr>
          </w:p>
        </w:tc>
        <w:tc>
          <w:tcPr>
            <w:tcW w:w="764" w:type="pct"/>
            <w:tcBorders>
              <w:top w:val="nil"/>
              <w:left w:val="nil"/>
              <w:bottom w:val="nil"/>
              <w:right w:val="nil"/>
            </w:tcBorders>
            <w:vAlign w:val="center"/>
            <w:hideMark/>
          </w:tcPr>
          <w:p w14:paraId="25BDF71C"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Ortiz (2022)</w:t>
            </w:r>
          </w:p>
        </w:tc>
        <w:tc>
          <w:tcPr>
            <w:tcW w:w="1006" w:type="pct"/>
            <w:tcBorders>
              <w:top w:val="nil"/>
              <w:left w:val="nil"/>
              <w:bottom w:val="nil"/>
              <w:right w:val="nil"/>
            </w:tcBorders>
            <w:vAlign w:val="center"/>
            <w:hideMark/>
          </w:tcPr>
          <w:p w14:paraId="03BDBDA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Estudio cualitativo, basado en entrevistas a mujeres sobrevivientes de violencia de género.</w:t>
            </w:r>
          </w:p>
        </w:tc>
        <w:tc>
          <w:tcPr>
            <w:tcW w:w="1261" w:type="pct"/>
            <w:tcBorders>
              <w:top w:val="nil"/>
              <w:left w:val="nil"/>
              <w:bottom w:val="nil"/>
              <w:right w:val="nil"/>
            </w:tcBorders>
            <w:vAlign w:val="center"/>
            <w:hideMark/>
          </w:tcPr>
          <w:p w14:paraId="21213FEE"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feminicidio es una manifestación extrema actos de violencia basada en el género, originada por la misoginia y las desigualdades estructurales.</w:t>
            </w:r>
          </w:p>
        </w:tc>
        <w:tc>
          <w:tcPr>
            <w:tcW w:w="1425" w:type="pct"/>
            <w:tcBorders>
              <w:top w:val="nil"/>
              <w:left w:val="nil"/>
              <w:bottom w:val="nil"/>
              <w:right w:val="nil"/>
            </w:tcBorders>
            <w:vAlign w:val="center"/>
            <w:hideMark/>
          </w:tcPr>
          <w:p w14:paraId="139E50E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Estado debe implementar acciones inmediatas para prevenir y castigar el feminicidio, así como para asegurar la igualdad de género.</w:t>
            </w:r>
          </w:p>
        </w:tc>
      </w:tr>
      <w:tr w:rsidR="00126A02" w:rsidRPr="00B07D2E" w14:paraId="2B4CC1EB" w14:textId="77777777" w:rsidTr="00126A02">
        <w:trPr>
          <w:trHeight w:val="113"/>
        </w:trPr>
        <w:tc>
          <w:tcPr>
            <w:tcW w:w="544" w:type="pct"/>
            <w:tcBorders>
              <w:top w:val="nil"/>
              <w:left w:val="nil"/>
              <w:bottom w:val="nil"/>
              <w:right w:val="nil"/>
            </w:tcBorders>
            <w:vAlign w:val="center"/>
          </w:tcPr>
          <w:p w14:paraId="76ACD405"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5F4EBB7A"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Racca (2015)</w:t>
            </w:r>
          </w:p>
        </w:tc>
        <w:tc>
          <w:tcPr>
            <w:tcW w:w="1006" w:type="pct"/>
            <w:tcBorders>
              <w:top w:val="nil"/>
              <w:left w:val="nil"/>
              <w:bottom w:val="nil"/>
              <w:right w:val="nil"/>
            </w:tcBorders>
            <w:vAlign w:val="center"/>
            <w:hideMark/>
          </w:tcPr>
          <w:p w14:paraId="6A7B144E"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Revisión doctrinal</w:t>
            </w:r>
          </w:p>
        </w:tc>
        <w:tc>
          <w:tcPr>
            <w:tcW w:w="1261" w:type="pct"/>
            <w:tcBorders>
              <w:top w:val="nil"/>
              <w:left w:val="nil"/>
              <w:bottom w:val="nil"/>
              <w:right w:val="nil"/>
            </w:tcBorders>
            <w:vAlign w:val="center"/>
            <w:hideMark/>
          </w:tcPr>
          <w:p w14:paraId="0EC6DE23"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 xml:space="preserve">El delito de femicidio representa un progreso en la lucha contra la violencia de género, aunque presenta retos en cuanto a su </w:t>
            </w:r>
            <w:r w:rsidRPr="00B07D2E">
              <w:rPr>
                <w:rFonts w:ascii="Arial" w:hAnsi="Arial" w:cs="Arial"/>
                <w:sz w:val="20"/>
                <w:szCs w:val="20"/>
                <w:lang w:val="es-PE"/>
              </w:rPr>
              <w:lastRenderedPageBreak/>
              <w:t>implementación y efectividad.</w:t>
            </w:r>
          </w:p>
        </w:tc>
        <w:tc>
          <w:tcPr>
            <w:tcW w:w="1425" w:type="pct"/>
            <w:tcBorders>
              <w:top w:val="nil"/>
              <w:left w:val="nil"/>
              <w:bottom w:val="nil"/>
              <w:right w:val="nil"/>
            </w:tcBorders>
            <w:vAlign w:val="center"/>
            <w:hideMark/>
          </w:tcPr>
          <w:p w14:paraId="7E44AA78"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lastRenderedPageBreak/>
              <w:t>Es necesaria una reforma legislativa para una mejor tipificación del femicidio como delito.</w:t>
            </w:r>
          </w:p>
        </w:tc>
      </w:tr>
      <w:tr w:rsidR="00126A02" w:rsidRPr="00B07D2E" w14:paraId="6DC51F79" w14:textId="77777777" w:rsidTr="00126A02">
        <w:trPr>
          <w:trHeight w:val="113"/>
        </w:trPr>
        <w:tc>
          <w:tcPr>
            <w:tcW w:w="544" w:type="pct"/>
            <w:tcBorders>
              <w:top w:val="nil"/>
              <w:left w:val="nil"/>
              <w:bottom w:val="nil"/>
              <w:right w:val="nil"/>
            </w:tcBorders>
            <w:vAlign w:val="center"/>
          </w:tcPr>
          <w:p w14:paraId="3AB825D2"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458FADC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Sepúlveda, et al. (2018).</w:t>
            </w:r>
          </w:p>
        </w:tc>
        <w:tc>
          <w:tcPr>
            <w:tcW w:w="1006" w:type="pct"/>
            <w:tcBorders>
              <w:top w:val="nil"/>
              <w:left w:val="nil"/>
              <w:bottom w:val="nil"/>
              <w:right w:val="nil"/>
            </w:tcBorders>
            <w:vAlign w:val="center"/>
            <w:hideMark/>
          </w:tcPr>
          <w:p w14:paraId="340A5F85"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Análisis espacial</w:t>
            </w:r>
          </w:p>
        </w:tc>
        <w:tc>
          <w:tcPr>
            <w:tcW w:w="1261" w:type="pct"/>
            <w:tcBorders>
              <w:top w:val="nil"/>
              <w:left w:val="nil"/>
              <w:bottom w:val="nil"/>
              <w:right w:val="nil"/>
            </w:tcBorders>
            <w:vAlign w:val="center"/>
            <w:hideMark/>
          </w:tcPr>
          <w:p w14:paraId="0CFF3BF3"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Los elementos que influyen en el feminicidio en Antioquia, Colombia, son principalmente de carácter social, económico y cultural.</w:t>
            </w:r>
          </w:p>
        </w:tc>
        <w:tc>
          <w:tcPr>
            <w:tcW w:w="1425" w:type="pct"/>
            <w:tcBorders>
              <w:top w:val="nil"/>
              <w:left w:val="nil"/>
              <w:bottom w:val="nil"/>
              <w:right w:val="nil"/>
            </w:tcBorders>
            <w:vAlign w:val="center"/>
            <w:hideMark/>
          </w:tcPr>
          <w:p w14:paraId="36AB8975"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El abordaje del feminicidio requiere estrategias focalizadas según contextos regionales.</w:t>
            </w:r>
          </w:p>
        </w:tc>
      </w:tr>
      <w:tr w:rsidR="00126A02" w:rsidRPr="00B07D2E" w14:paraId="12E12720" w14:textId="77777777" w:rsidTr="00126A02">
        <w:trPr>
          <w:trHeight w:val="113"/>
        </w:trPr>
        <w:tc>
          <w:tcPr>
            <w:tcW w:w="544" w:type="pct"/>
            <w:tcBorders>
              <w:top w:val="nil"/>
              <w:left w:val="nil"/>
              <w:bottom w:val="nil"/>
              <w:right w:val="nil"/>
            </w:tcBorders>
            <w:vAlign w:val="center"/>
          </w:tcPr>
          <w:p w14:paraId="3E555A38"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rPr>
            </w:pPr>
          </w:p>
        </w:tc>
        <w:tc>
          <w:tcPr>
            <w:tcW w:w="764" w:type="pct"/>
            <w:tcBorders>
              <w:top w:val="nil"/>
              <w:left w:val="nil"/>
              <w:bottom w:val="nil"/>
              <w:right w:val="nil"/>
            </w:tcBorders>
            <w:vAlign w:val="center"/>
            <w:hideMark/>
          </w:tcPr>
          <w:p w14:paraId="6B72FA85"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Silva, et al. (2023)</w:t>
            </w:r>
          </w:p>
        </w:tc>
        <w:tc>
          <w:tcPr>
            <w:tcW w:w="1006" w:type="pct"/>
            <w:tcBorders>
              <w:top w:val="nil"/>
              <w:left w:val="nil"/>
              <w:bottom w:val="nil"/>
              <w:right w:val="nil"/>
            </w:tcBorders>
            <w:vAlign w:val="center"/>
            <w:hideMark/>
          </w:tcPr>
          <w:p w14:paraId="3501BAE6"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Básica, enfoque cualitativo, diseño no experimental, descriptiva; teoría fundamentada, entrevistas</w:t>
            </w:r>
          </w:p>
        </w:tc>
        <w:tc>
          <w:tcPr>
            <w:tcW w:w="1261" w:type="pct"/>
            <w:tcBorders>
              <w:top w:val="nil"/>
              <w:left w:val="nil"/>
              <w:bottom w:val="nil"/>
              <w:right w:val="nil"/>
            </w:tcBorders>
            <w:vAlign w:val="center"/>
          </w:tcPr>
          <w:p w14:paraId="1E6BE9B1"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Las repercusiones legales al demostrar la vulneración del derecho a la indemnidad sexual pueden incluir sanciones y compensaciones.</w:t>
            </w:r>
          </w:p>
          <w:p w14:paraId="2CF0E080" w14:textId="77777777" w:rsidR="00126A02" w:rsidRPr="00B07D2E" w:rsidRDefault="00126A02" w:rsidP="00126A02">
            <w:pPr>
              <w:spacing w:after="0" w:line="240" w:lineRule="auto"/>
              <w:jc w:val="center"/>
              <w:rPr>
                <w:rFonts w:ascii="Arial" w:hAnsi="Arial" w:cs="Arial"/>
                <w:sz w:val="20"/>
                <w:szCs w:val="20"/>
                <w:lang w:val="es-PE"/>
              </w:rPr>
            </w:pPr>
          </w:p>
          <w:p w14:paraId="2FE166FE" w14:textId="77777777" w:rsidR="00126A02" w:rsidRPr="00B07D2E" w:rsidRDefault="00126A02" w:rsidP="00126A02">
            <w:pPr>
              <w:spacing w:after="0" w:line="240" w:lineRule="auto"/>
              <w:jc w:val="center"/>
              <w:rPr>
                <w:rFonts w:ascii="Arial" w:hAnsi="Arial" w:cs="Arial"/>
                <w:sz w:val="20"/>
                <w:szCs w:val="20"/>
                <w:lang w:val="es-PE"/>
              </w:rPr>
            </w:pPr>
          </w:p>
          <w:p w14:paraId="7538E59A" w14:textId="77777777" w:rsidR="00126A02" w:rsidRPr="00B07D2E" w:rsidRDefault="00126A02" w:rsidP="00126A02">
            <w:pPr>
              <w:spacing w:after="0" w:line="240" w:lineRule="auto"/>
              <w:jc w:val="center"/>
              <w:rPr>
                <w:rFonts w:ascii="Arial" w:hAnsi="Arial" w:cs="Arial"/>
                <w:sz w:val="20"/>
                <w:szCs w:val="20"/>
                <w:lang w:val="es-PE"/>
              </w:rPr>
            </w:pPr>
          </w:p>
          <w:p w14:paraId="22CD4227" w14:textId="77777777" w:rsidR="00126A02" w:rsidRPr="00B07D2E" w:rsidRDefault="00126A02" w:rsidP="00126A02">
            <w:pPr>
              <w:spacing w:after="0" w:line="240" w:lineRule="auto"/>
              <w:jc w:val="center"/>
              <w:rPr>
                <w:rFonts w:ascii="Arial" w:hAnsi="Arial" w:cs="Arial"/>
                <w:sz w:val="20"/>
                <w:szCs w:val="20"/>
                <w:lang w:val="es-PE"/>
              </w:rPr>
            </w:pPr>
          </w:p>
          <w:p w14:paraId="376F99BA" w14:textId="77777777" w:rsidR="00126A02" w:rsidRPr="00B07D2E" w:rsidRDefault="00126A02" w:rsidP="00126A02">
            <w:pPr>
              <w:spacing w:after="0" w:line="240" w:lineRule="auto"/>
              <w:jc w:val="center"/>
              <w:rPr>
                <w:rFonts w:ascii="Arial" w:hAnsi="Arial" w:cs="Arial"/>
                <w:sz w:val="20"/>
                <w:szCs w:val="20"/>
                <w:lang w:val="es-PE"/>
              </w:rPr>
            </w:pPr>
          </w:p>
        </w:tc>
        <w:tc>
          <w:tcPr>
            <w:tcW w:w="1425" w:type="pct"/>
            <w:tcBorders>
              <w:top w:val="nil"/>
              <w:left w:val="nil"/>
              <w:bottom w:val="nil"/>
              <w:right w:val="nil"/>
            </w:tcBorders>
            <w:vAlign w:val="center"/>
            <w:hideMark/>
          </w:tcPr>
          <w:p w14:paraId="4F6939F4"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Debido a que estos delitos son de naturaleza oculta, la justificación de la baja menor por tales infracciones debe estar respaldada por factores marginales que vinculen lo analizado con la manifestación criminal que afecta el libre desarrollo de la personalidad y la integridad.</w:t>
            </w:r>
          </w:p>
        </w:tc>
      </w:tr>
      <w:tr w:rsidR="00126A02" w:rsidRPr="00B07D2E" w14:paraId="568E9B03" w14:textId="77777777" w:rsidTr="00126A02">
        <w:trPr>
          <w:trHeight w:val="113"/>
        </w:trPr>
        <w:tc>
          <w:tcPr>
            <w:tcW w:w="544" w:type="pct"/>
            <w:tcBorders>
              <w:top w:val="nil"/>
              <w:left w:val="nil"/>
              <w:bottom w:val="nil"/>
              <w:right w:val="nil"/>
            </w:tcBorders>
            <w:vAlign w:val="center"/>
          </w:tcPr>
          <w:p w14:paraId="62A6B62A" w14:textId="77777777" w:rsidR="00126A02" w:rsidRPr="00B07D2E" w:rsidRDefault="00126A02" w:rsidP="00126A02">
            <w:pPr>
              <w:pStyle w:val="Prrafodelista"/>
              <w:numPr>
                <w:ilvl w:val="0"/>
                <w:numId w:val="1"/>
              </w:numPr>
              <w:spacing w:before="0" w:after="0" w:line="240" w:lineRule="auto"/>
              <w:ind w:left="0" w:firstLine="0"/>
              <w:jc w:val="center"/>
              <w:rPr>
                <w:rFonts w:ascii="Arial" w:eastAsia="Times New Roman" w:hAnsi="Arial" w:cs="Arial"/>
                <w:bCs/>
                <w:sz w:val="20"/>
                <w:lang w:val="es-VE" w:eastAsia="es-PE"/>
              </w:rPr>
            </w:pPr>
          </w:p>
        </w:tc>
        <w:tc>
          <w:tcPr>
            <w:tcW w:w="764" w:type="pct"/>
            <w:tcBorders>
              <w:top w:val="nil"/>
              <w:left w:val="nil"/>
              <w:bottom w:val="nil"/>
              <w:right w:val="nil"/>
            </w:tcBorders>
            <w:vAlign w:val="center"/>
            <w:hideMark/>
          </w:tcPr>
          <w:p w14:paraId="30A7444C"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bCs/>
                <w:sz w:val="20"/>
                <w:szCs w:val="20"/>
                <w:lang w:val="es-PE" w:eastAsia="es-PE"/>
              </w:rPr>
              <w:t>Torres (2021)</w:t>
            </w:r>
          </w:p>
        </w:tc>
        <w:tc>
          <w:tcPr>
            <w:tcW w:w="1006" w:type="pct"/>
            <w:tcBorders>
              <w:top w:val="nil"/>
              <w:left w:val="nil"/>
              <w:bottom w:val="nil"/>
              <w:right w:val="nil"/>
            </w:tcBorders>
            <w:vAlign w:val="center"/>
            <w:hideMark/>
          </w:tcPr>
          <w:p w14:paraId="1BF3E5B0"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Estudio cuantitativo, basado en un análisis de datos estadísticos.</w:t>
            </w:r>
          </w:p>
        </w:tc>
        <w:tc>
          <w:tcPr>
            <w:tcW w:w="1261" w:type="pct"/>
            <w:tcBorders>
              <w:top w:val="nil"/>
              <w:left w:val="nil"/>
              <w:bottom w:val="nil"/>
              <w:right w:val="nil"/>
            </w:tcBorders>
            <w:vAlign w:val="center"/>
            <w:hideMark/>
          </w:tcPr>
          <w:p w14:paraId="76BF4EC0"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El feminicidio no constituye un fenómeno en aumento en América Latina.</w:t>
            </w:r>
          </w:p>
        </w:tc>
        <w:tc>
          <w:tcPr>
            <w:tcW w:w="1425" w:type="pct"/>
            <w:tcBorders>
              <w:top w:val="nil"/>
              <w:left w:val="nil"/>
              <w:bottom w:val="nil"/>
              <w:right w:val="nil"/>
            </w:tcBorders>
            <w:vAlign w:val="center"/>
            <w:hideMark/>
          </w:tcPr>
          <w:p w14:paraId="243D1656" w14:textId="77777777" w:rsidR="00126A02" w:rsidRPr="00B07D2E" w:rsidRDefault="00126A02" w:rsidP="00126A02">
            <w:pPr>
              <w:spacing w:after="0" w:line="240" w:lineRule="auto"/>
              <w:jc w:val="center"/>
              <w:rPr>
                <w:rFonts w:ascii="Arial" w:eastAsia="Times New Roman" w:hAnsi="Arial" w:cs="Arial"/>
                <w:sz w:val="20"/>
                <w:szCs w:val="20"/>
                <w:lang w:val="es-PE" w:eastAsia="es-PE"/>
              </w:rPr>
            </w:pPr>
            <w:r w:rsidRPr="00B07D2E">
              <w:rPr>
                <w:rFonts w:ascii="Arial" w:eastAsia="Times New Roman" w:hAnsi="Arial" w:cs="Arial"/>
                <w:sz w:val="20"/>
                <w:szCs w:val="20"/>
                <w:lang w:val="es-PE" w:eastAsia="es-PE"/>
              </w:rPr>
              <w:t>El Estado debe enfocar sus esfuerzos en prevenir la violencia interpersonal, sin importar el género de la víctima.</w:t>
            </w:r>
          </w:p>
        </w:tc>
      </w:tr>
      <w:tr w:rsidR="00126A02" w:rsidRPr="00B07D2E" w14:paraId="68ABE60A" w14:textId="77777777" w:rsidTr="00126A02">
        <w:trPr>
          <w:trHeight w:val="113"/>
        </w:trPr>
        <w:tc>
          <w:tcPr>
            <w:tcW w:w="544" w:type="pct"/>
            <w:tcBorders>
              <w:top w:val="nil"/>
              <w:left w:val="nil"/>
              <w:bottom w:val="single" w:sz="4" w:space="0" w:color="auto"/>
              <w:right w:val="nil"/>
            </w:tcBorders>
            <w:vAlign w:val="center"/>
          </w:tcPr>
          <w:p w14:paraId="37DD9DA7" w14:textId="77777777" w:rsidR="00126A02" w:rsidRPr="00B07D2E" w:rsidRDefault="00126A02" w:rsidP="00126A02">
            <w:pPr>
              <w:pStyle w:val="Prrafodelista"/>
              <w:numPr>
                <w:ilvl w:val="0"/>
                <w:numId w:val="1"/>
              </w:numPr>
              <w:spacing w:before="0" w:after="0" w:line="240" w:lineRule="auto"/>
              <w:ind w:left="0" w:firstLine="0"/>
              <w:jc w:val="center"/>
              <w:rPr>
                <w:rFonts w:ascii="Arial" w:hAnsi="Arial" w:cs="Arial"/>
                <w:sz w:val="20"/>
                <w:lang w:val="es-VE" w:eastAsia="en-US"/>
              </w:rPr>
            </w:pPr>
          </w:p>
        </w:tc>
        <w:tc>
          <w:tcPr>
            <w:tcW w:w="764" w:type="pct"/>
            <w:tcBorders>
              <w:top w:val="nil"/>
              <w:left w:val="nil"/>
              <w:bottom w:val="single" w:sz="4" w:space="0" w:color="auto"/>
              <w:right w:val="nil"/>
            </w:tcBorders>
            <w:vAlign w:val="center"/>
            <w:hideMark/>
          </w:tcPr>
          <w:p w14:paraId="4BF5E828"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Vázquez, C. (2019).</w:t>
            </w:r>
          </w:p>
        </w:tc>
        <w:tc>
          <w:tcPr>
            <w:tcW w:w="1006" w:type="pct"/>
            <w:tcBorders>
              <w:top w:val="nil"/>
              <w:left w:val="nil"/>
              <w:bottom w:val="single" w:sz="4" w:space="0" w:color="auto"/>
              <w:right w:val="nil"/>
            </w:tcBorders>
            <w:vAlign w:val="center"/>
            <w:hideMark/>
          </w:tcPr>
          <w:p w14:paraId="33D8343A"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Análisis normativo</w:t>
            </w:r>
          </w:p>
        </w:tc>
        <w:tc>
          <w:tcPr>
            <w:tcW w:w="1261" w:type="pct"/>
            <w:tcBorders>
              <w:top w:val="nil"/>
              <w:left w:val="nil"/>
              <w:bottom w:val="single" w:sz="4" w:space="0" w:color="auto"/>
              <w:right w:val="nil"/>
            </w:tcBorders>
            <w:vAlign w:val="center"/>
          </w:tcPr>
          <w:p w14:paraId="08586BEA"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 tipificación del feminicidio plantea problemas probatorios, como la dificultad de probar la intencionalidad de género.</w:t>
            </w:r>
          </w:p>
          <w:p w14:paraId="4330B77D" w14:textId="77777777" w:rsidR="00126A02" w:rsidRPr="00B07D2E" w:rsidRDefault="00126A02" w:rsidP="00126A02">
            <w:pPr>
              <w:spacing w:after="0" w:line="240" w:lineRule="auto"/>
              <w:jc w:val="center"/>
              <w:rPr>
                <w:rFonts w:ascii="Arial" w:hAnsi="Arial" w:cs="Arial"/>
                <w:sz w:val="20"/>
                <w:szCs w:val="20"/>
                <w:lang w:val="es-PE"/>
              </w:rPr>
            </w:pPr>
          </w:p>
        </w:tc>
        <w:tc>
          <w:tcPr>
            <w:tcW w:w="1425" w:type="pct"/>
            <w:tcBorders>
              <w:top w:val="nil"/>
              <w:left w:val="nil"/>
              <w:bottom w:val="single" w:sz="4" w:space="0" w:color="auto"/>
              <w:right w:val="nil"/>
            </w:tcBorders>
            <w:vAlign w:val="center"/>
            <w:hideMark/>
          </w:tcPr>
          <w:p w14:paraId="3EFC1B30" w14:textId="77777777" w:rsidR="00126A02" w:rsidRPr="00B07D2E" w:rsidRDefault="00126A02" w:rsidP="00126A02">
            <w:pPr>
              <w:spacing w:after="0" w:line="240" w:lineRule="auto"/>
              <w:jc w:val="center"/>
              <w:rPr>
                <w:rFonts w:ascii="Arial" w:hAnsi="Arial" w:cs="Arial"/>
                <w:sz w:val="20"/>
                <w:szCs w:val="20"/>
                <w:lang w:val="es-PE"/>
              </w:rPr>
            </w:pPr>
            <w:r w:rsidRPr="00B07D2E">
              <w:rPr>
                <w:rFonts w:ascii="Arial" w:hAnsi="Arial" w:cs="Arial"/>
                <w:sz w:val="20"/>
                <w:szCs w:val="20"/>
                <w:lang w:val="es-PE"/>
              </w:rPr>
              <w:t>La tipificación del feminicidio resulta insuficiente sin reformas profundas tanto en el sistema judicial como en la estructura social. Por lo tanto, es necesario implementar un enfoque integral que trascienda el ámbito penal para prevenir y erradicar este delito.</w:t>
            </w:r>
          </w:p>
        </w:tc>
      </w:tr>
    </w:tbl>
    <w:p w14:paraId="311B2A2B" w14:textId="1AB6778D" w:rsidR="00D82E8D" w:rsidRPr="00B07D2E" w:rsidRDefault="00D82E8D" w:rsidP="00126A02">
      <w:pPr>
        <w:spacing w:after="0" w:line="240" w:lineRule="auto"/>
        <w:ind w:firstLine="708"/>
        <w:jc w:val="both"/>
        <w:rPr>
          <w:rFonts w:ascii="Arial" w:hAnsi="Arial" w:cs="Arial"/>
          <w:sz w:val="20"/>
        </w:rPr>
      </w:pPr>
      <w:r w:rsidRPr="00B07D2E">
        <w:rPr>
          <w:rFonts w:ascii="Arial" w:hAnsi="Arial" w:cs="Arial"/>
          <w:sz w:val="20"/>
        </w:rPr>
        <w:t xml:space="preserve">Los resultados del análisis documental </w:t>
      </w:r>
      <w:r w:rsidRPr="00B07D2E">
        <w:rPr>
          <w:rStyle w:val="Textoennegrita"/>
          <w:rFonts w:ascii="Arial" w:hAnsi="Arial" w:cs="Arial"/>
          <w:b w:val="0"/>
          <w:sz w:val="20"/>
        </w:rPr>
        <w:t>demuestran</w:t>
      </w:r>
      <w:r w:rsidRPr="00B07D2E">
        <w:rPr>
          <w:rFonts w:ascii="Arial" w:hAnsi="Arial" w:cs="Arial"/>
          <w:sz w:val="20"/>
        </w:rPr>
        <w:t xml:space="preserve"> que el feminicidio puede ser comprendido desde un enfoque </w:t>
      </w:r>
      <w:r w:rsidRPr="00B07D2E">
        <w:rPr>
          <w:rStyle w:val="Textoennegrita"/>
          <w:rFonts w:ascii="Arial" w:hAnsi="Arial" w:cs="Arial"/>
          <w:b w:val="0"/>
          <w:sz w:val="20"/>
        </w:rPr>
        <w:t>cultural</w:t>
      </w:r>
      <w:r w:rsidRPr="00B07D2E">
        <w:rPr>
          <w:rFonts w:ascii="Arial" w:hAnsi="Arial" w:cs="Arial"/>
          <w:sz w:val="20"/>
        </w:rPr>
        <w:t xml:space="preserve"> y estructural, puesto que, en las investigaciones de Bejarano (2014) y González (2014), se destaca que este fenómeno </w:t>
      </w:r>
      <w:r w:rsidRPr="00B07D2E">
        <w:rPr>
          <w:rStyle w:val="Textoennegrita"/>
          <w:rFonts w:ascii="Arial" w:hAnsi="Arial" w:cs="Arial"/>
          <w:b w:val="0"/>
          <w:sz w:val="20"/>
        </w:rPr>
        <w:t>estructural persiste debido a su arraigo en</w:t>
      </w:r>
      <w:r w:rsidRPr="00B07D2E">
        <w:rPr>
          <w:rFonts w:ascii="Arial" w:hAnsi="Arial" w:cs="Arial"/>
          <w:sz w:val="20"/>
        </w:rPr>
        <w:t xml:space="preserve"> diversas formas de agresión hacia las mujeres. Por esa razón, </w:t>
      </w:r>
      <w:r w:rsidRPr="00B07D2E">
        <w:rPr>
          <w:rStyle w:val="Textoennegrita"/>
          <w:rFonts w:ascii="Arial" w:hAnsi="Arial" w:cs="Arial"/>
          <w:b w:val="0"/>
          <w:sz w:val="20"/>
        </w:rPr>
        <w:t>un cambio cultural profundo en la sociedad es esencial para erradicar</w:t>
      </w:r>
      <w:r w:rsidRPr="00B07D2E">
        <w:rPr>
          <w:rFonts w:ascii="Arial" w:hAnsi="Arial" w:cs="Arial"/>
          <w:sz w:val="20"/>
        </w:rPr>
        <w:t xml:space="preserve"> este tipo de delitos.</w:t>
      </w:r>
    </w:p>
    <w:p w14:paraId="71D50F49" w14:textId="77777777" w:rsidR="00D82E8D" w:rsidRPr="00B07D2E" w:rsidRDefault="00D82E8D" w:rsidP="00D82E8D">
      <w:pPr>
        <w:spacing w:after="0" w:line="240" w:lineRule="auto"/>
        <w:ind w:firstLine="709"/>
        <w:jc w:val="both"/>
        <w:rPr>
          <w:rFonts w:ascii="Arial" w:hAnsi="Arial" w:cs="Arial"/>
          <w:sz w:val="20"/>
        </w:rPr>
      </w:pPr>
      <w:r w:rsidRPr="00B07D2E">
        <w:rPr>
          <w:rFonts w:ascii="Arial" w:hAnsi="Arial" w:cs="Arial"/>
          <w:sz w:val="20"/>
        </w:rPr>
        <w:t xml:space="preserve">Por otro lado, se realizó un análisis de medios de comunicación para </w:t>
      </w:r>
      <w:r w:rsidRPr="00B07D2E">
        <w:rPr>
          <w:rStyle w:val="Textoennegrita"/>
          <w:rFonts w:ascii="Arial" w:hAnsi="Arial" w:cs="Arial"/>
          <w:b w:val="0"/>
          <w:sz w:val="20"/>
        </w:rPr>
        <w:t>identificar</w:t>
      </w:r>
      <w:r w:rsidRPr="00B07D2E">
        <w:rPr>
          <w:rFonts w:ascii="Arial" w:hAnsi="Arial" w:cs="Arial"/>
          <w:sz w:val="20"/>
        </w:rPr>
        <w:t xml:space="preserve"> estereotipos. Según Aldrete y Fernández (2023) y Carrigan y Dawson (2020), </w:t>
      </w:r>
      <w:r w:rsidRPr="00B07D2E">
        <w:rPr>
          <w:rStyle w:val="Textoennegrita"/>
          <w:rFonts w:ascii="Arial" w:hAnsi="Arial" w:cs="Arial"/>
          <w:b w:val="0"/>
          <w:sz w:val="20"/>
        </w:rPr>
        <w:t>estos autores señalan que</w:t>
      </w:r>
      <w:r w:rsidRPr="00B07D2E">
        <w:rPr>
          <w:rFonts w:ascii="Arial" w:hAnsi="Arial" w:cs="Arial"/>
          <w:sz w:val="20"/>
        </w:rPr>
        <w:t xml:space="preserve"> la reproducción de estereotipos en los medios convencionales y no convencionales </w:t>
      </w:r>
      <w:r w:rsidRPr="00B07D2E">
        <w:rPr>
          <w:rStyle w:val="Textoennegrita"/>
          <w:rFonts w:ascii="Arial" w:hAnsi="Arial" w:cs="Arial"/>
          <w:b w:val="0"/>
          <w:sz w:val="20"/>
        </w:rPr>
        <w:t>genera</w:t>
      </w:r>
      <w:r w:rsidRPr="00B07D2E">
        <w:rPr>
          <w:rFonts w:ascii="Arial" w:hAnsi="Arial" w:cs="Arial"/>
          <w:b/>
          <w:sz w:val="20"/>
        </w:rPr>
        <w:t xml:space="preserve"> </w:t>
      </w:r>
      <w:r w:rsidRPr="00B07D2E">
        <w:rPr>
          <w:rFonts w:ascii="Arial" w:hAnsi="Arial" w:cs="Arial"/>
          <w:sz w:val="20"/>
        </w:rPr>
        <w:t xml:space="preserve">críticas negativas relacionadas </w:t>
      </w:r>
      <w:r w:rsidRPr="00B07D2E">
        <w:rPr>
          <w:rStyle w:val="Textoennegrita"/>
          <w:rFonts w:ascii="Arial" w:hAnsi="Arial" w:cs="Arial"/>
          <w:sz w:val="20"/>
        </w:rPr>
        <w:t>con</w:t>
      </w:r>
      <w:r w:rsidRPr="00B07D2E">
        <w:rPr>
          <w:rFonts w:ascii="Arial" w:hAnsi="Arial" w:cs="Arial"/>
          <w:sz w:val="20"/>
        </w:rPr>
        <w:t xml:space="preserve"> la representación de las mujeres y el feminismo contemporáneo.</w:t>
      </w:r>
    </w:p>
    <w:p w14:paraId="19CA3031" w14:textId="3D3D4035" w:rsidR="00D82E8D" w:rsidRPr="00B07D2E" w:rsidRDefault="00D82E8D" w:rsidP="00D82E8D">
      <w:pPr>
        <w:spacing w:after="0" w:line="240" w:lineRule="auto"/>
        <w:ind w:firstLine="709"/>
        <w:jc w:val="both"/>
        <w:rPr>
          <w:rFonts w:ascii="Arial" w:hAnsi="Arial" w:cs="Arial"/>
          <w:b/>
          <w:bCs/>
          <w:sz w:val="20"/>
        </w:rPr>
      </w:pPr>
      <w:r w:rsidRPr="00B07D2E">
        <w:rPr>
          <w:rFonts w:ascii="Arial" w:hAnsi="Arial" w:cs="Arial"/>
          <w:sz w:val="20"/>
        </w:rPr>
        <w:t xml:space="preserve">Por último, </w:t>
      </w:r>
      <w:r w:rsidRPr="00B07D2E">
        <w:rPr>
          <w:rStyle w:val="Textoennegrita"/>
          <w:rFonts w:ascii="Arial" w:hAnsi="Arial" w:cs="Arial"/>
          <w:b w:val="0"/>
          <w:sz w:val="20"/>
        </w:rPr>
        <w:t>se analizaron</w:t>
      </w:r>
      <w:r w:rsidRPr="00B07D2E">
        <w:rPr>
          <w:rFonts w:ascii="Arial" w:hAnsi="Arial" w:cs="Arial"/>
          <w:sz w:val="20"/>
        </w:rPr>
        <w:t xml:space="preserve"> los planos normativos. De acuerdo con Racca (2015), Vázquez (2019) y Carrigan y Dawson (2020), </w:t>
      </w:r>
      <w:r w:rsidRPr="00B07D2E">
        <w:rPr>
          <w:rStyle w:val="Textoennegrita"/>
          <w:rFonts w:ascii="Arial" w:hAnsi="Arial" w:cs="Arial"/>
          <w:b w:val="0"/>
          <w:sz w:val="20"/>
        </w:rPr>
        <w:t>estos investigadores comparten</w:t>
      </w:r>
      <w:r w:rsidRPr="00B07D2E">
        <w:rPr>
          <w:rFonts w:ascii="Arial" w:hAnsi="Arial" w:cs="Arial"/>
          <w:sz w:val="20"/>
        </w:rPr>
        <w:t xml:space="preserve"> en sus estudios una perspectiva crítica hacia la legislación sobre feminicidio. </w:t>
      </w:r>
      <w:r w:rsidRPr="00B07D2E">
        <w:rPr>
          <w:rStyle w:val="Textoennegrita"/>
          <w:rFonts w:ascii="Arial" w:hAnsi="Arial" w:cs="Arial"/>
          <w:b w:val="0"/>
          <w:sz w:val="20"/>
        </w:rPr>
        <w:t>Sin embargo,</w:t>
      </w:r>
      <w:r w:rsidRPr="00B07D2E">
        <w:rPr>
          <w:rFonts w:ascii="Arial" w:hAnsi="Arial" w:cs="Arial"/>
          <w:sz w:val="20"/>
        </w:rPr>
        <w:t xml:space="preserve"> Racca (2015) indica que </w:t>
      </w:r>
      <w:r w:rsidRPr="00B07D2E">
        <w:rPr>
          <w:rStyle w:val="Textoennegrita"/>
          <w:rFonts w:ascii="Arial" w:hAnsi="Arial" w:cs="Arial"/>
          <w:b w:val="0"/>
          <w:sz w:val="20"/>
        </w:rPr>
        <w:t>es necesario implementar</w:t>
      </w:r>
      <w:r w:rsidRPr="00B07D2E">
        <w:rPr>
          <w:rFonts w:ascii="Arial" w:hAnsi="Arial" w:cs="Arial"/>
          <w:sz w:val="20"/>
        </w:rPr>
        <w:t xml:space="preserve"> reformas legislativas, Vázquez (2019) destaca problemas probatorios y Carrigan y Dawson (2020) critican las representaciones problemáticas y la legislación en América Latina. </w:t>
      </w:r>
      <w:r w:rsidRPr="00B07D2E">
        <w:rPr>
          <w:rStyle w:val="Textoennegrita"/>
          <w:rFonts w:ascii="Arial" w:hAnsi="Arial" w:cs="Arial"/>
          <w:b w:val="0"/>
          <w:sz w:val="20"/>
        </w:rPr>
        <w:t>De manera similar,</w:t>
      </w:r>
      <w:r w:rsidRPr="00B07D2E">
        <w:rPr>
          <w:rFonts w:ascii="Arial" w:hAnsi="Arial" w:cs="Arial"/>
          <w:sz w:val="20"/>
        </w:rPr>
        <w:t xml:space="preserve"> González (2014) y D'Ignazio et al. (2022) coinciden en que el enfoque fragmentado y segmentado de la legislación penal no es suficiente para enfrentar el feminicidio, por lo que proponen un tratamiento integral que </w:t>
      </w:r>
      <w:r w:rsidRPr="00B07D2E">
        <w:rPr>
          <w:rStyle w:val="Textoennegrita"/>
          <w:rFonts w:ascii="Arial" w:hAnsi="Arial" w:cs="Arial"/>
          <w:b w:val="0"/>
          <w:sz w:val="20"/>
        </w:rPr>
        <w:t>considere</w:t>
      </w:r>
      <w:r w:rsidRPr="00B07D2E">
        <w:rPr>
          <w:rFonts w:ascii="Arial" w:hAnsi="Arial" w:cs="Arial"/>
          <w:sz w:val="20"/>
        </w:rPr>
        <w:t xml:space="preserve"> todas las dimensiones de la violencia de género, asegurando una respuesta más efectiva y holística.</w:t>
      </w:r>
    </w:p>
    <w:p w14:paraId="40C252AF" w14:textId="77777777" w:rsidR="00683E7D" w:rsidRPr="00B07D2E" w:rsidRDefault="00683E7D" w:rsidP="00E271E2">
      <w:pPr>
        <w:spacing w:after="0" w:line="240" w:lineRule="auto"/>
        <w:ind w:firstLine="709"/>
        <w:jc w:val="both"/>
        <w:rPr>
          <w:rFonts w:ascii="Arial" w:hAnsi="Arial" w:cs="Arial"/>
          <w:sz w:val="20"/>
          <w:szCs w:val="20"/>
          <w:lang w:val="es-ES"/>
        </w:rPr>
      </w:pPr>
    </w:p>
    <w:p w14:paraId="58934903" w14:textId="77777777" w:rsidR="00D82E8D" w:rsidRPr="00B07D2E" w:rsidRDefault="00D82E8D" w:rsidP="00E271E2">
      <w:pPr>
        <w:spacing w:after="0" w:line="240" w:lineRule="auto"/>
        <w:jc w:val="both"/>
        <w:rPr>
          <w:rFonts w:ascii="Arial" w:hAnsi="Arial" w:cs="Arial"/>
          <w:b/>
          <w:bCs/>
        </w:rPr>
      </w:pPr>
      <w:r w:rsidRPr="00B07D2E">
        <w:rPr>
          <w:rFonts w:ascii="Arial" w:hAnsi="Arial" w:cs="Arial"/>
          <w:b/>
          <w:bCs/>
        </w:rPr>
        <w:t>Discusión</w:t>
      </w:r>
    </w:p>
    <w:p w14:paraId="4997EF52" w14:textId="77777777" w:rsidR="006E6C19" w:rsidRPr="00B07D2E" w:rsidRDefault="00D82E8D" w:rsidP="006E6C19">
      <w:pPr>
        <w:spacing w:after="0" w:line="240" w:lineRule="auto"/>
        <w:ind w:firstLine="709"/>
        <w:jc w:val="both"/>
        <w:rPr>
          <w:rFonts w:ascii="Arial" w:hAnsi="Arial" w:cs="Arial"/>
          <w:sz w:val="20"/>
        </w:rPr>
      </w:pPr>
      <w:r w:rsidRPr="00B07D2E">
        <w:rPr>
          <w:rFonts w:ascii="Arial" w:hAnsi="Arial" w:cs="Arial"/>
          <w:sz w:val="20"/>
        </w:rPr>
        <w:t xml:space="preserve">La teoría feminista ha sido crucial para entender la complejidad del feminicidio y su influencia en la batalla por la igualdad de género. En este contexto, autores como Puente (2021) han propuesto el desarrollo de una teoría de la justicia feminista, que </w:t>
      </w:r>
      <w:r w:rsidRPr="00B07D2E">
        <w:rPr>
          <w:rStyle w:val="Textoennegrita"/>
          <w:rFonts w:ascii="Arial" w:hAnsi="Arial" w:cs="Arial"/>
          <w:b w:val="0"/>
          <w:sz w:val="20"/>
        </w:rPr>
        <w:t>aborde</w:t>
      </w:r>
      <w:r w:rsidRPr="00B07D2E">
        <w:rPr>
          <w:rFonts w:ascii="Arial" w:hAnsi="Arial" w:cs="Arial"/>
          <w:sz w:val="20"/>
        </w:rPr>
        <w:t xml:space="preserve"> la violencia de género de manera holística. Esta propuesta subraya la relevancia de identificar las interacciones de poder y las desigualdades estructurales que </w:t>
      </w:r>
      <w:r w:rsidRPr="00B07D2E">
        <w:rPr>
          <w:rStyle w:val="Textoennegrita"/>
          <w:rFonts w:ascii="Arial" w:hAnsi="Arial" w:cs="Arial"/>
          <w:b w:val="0"/>
          <w:sz w:val="20"/>
        </w:rPr>
        <w:t>perpetúan</w:t>
      </w:r>
      <w:r w:rsidRPr="00B07D2E">
        <w:rPr>
          <w:rFonts w:ascii="Arial" w:hAnsi="Arial" w:cs="Arial"/>
          <w:sz w:val="20"/>
        </w:rPr>
        <w:t xml:space="preserve"> la violencia </w:t>
      </w:r>
      <w:r w:rsidRPr="00B07D2E">
        <w:rPr>
          <w:rFonts w:ascii="Arial" w:hAnsi="Arial" w:cs="Arial"/>
          <w:sz w:val="20"/>
        </w:rPr>
        <w:lastRenderedPageBreak/>
        <w:t>contra las mujeres, junto con la imperiosa obligación de implementar acciones eficaces para prevenir y castigar el feminicidio.</w:t>
      </w:r>
    </w:p>
    <w:p w14:paraId="0C2031A6" w14:textId="77777777" w:rsidR="006E6C19" w:rsidRPr="00B07D2E" w:rsidRDefault="00D82E8D" w:rsidP="006E6C19">
      <w:pPr>
        <w:spacing w:after="0" w:line="240" w:lineRule="auto"/>
        <w:ind w:firstLine="709"/>
        <w:jc w:val="both"/>
        <w:rPr>
          <w:rFonts w:ascii="Arial" w:hAnsi="Arial" w:cs="Arial"/>
          <w:sz w:val="20"/>
        </w:rPr>
      </w:pPr>
      <w:r w:rsidRPr="00B07D2E">
        <w:rPr>
          <w:rFonts w:ascii="Arial" w:hAnsi="Arial" w:cs="Arial"/>
          <w:sz w:val="20"/>
        </w:rPr>
        <w:t xml:space="preserve">Por su parte, Quiroga y Lorenzo (2019) resaltan el papel clave de la criminología feminista en el análisis de la delincuencia femenina, </w:t>
      </w:r>
      <w:r w:rsidRPr="00B07D2E">
        <w:rPr>
          <w:rStyle w:val="Textoennegrita"/>
          <w:rFonts w:ascii="Arial" w:hAnsi="Arial" w:cs="Arial"/>
          <w:b w:val="0"/>
          <w:sz w:val="20"/>
        </w:rPr>
        <w:t>destacando</w:t>
      </w:r>
      <w:r w:rsidRPr="00B07D2E">
        <w:rPr>
          <w:rFonts w:ascii="Arial" w:hAnsi="Arial" w:cs="Arial"/>
          <w:sz w:val="20"/>
        </w:rPr>
        <w:t xml:space="preserve"> la necesidad de cuestionar las teorías tradicionales que han pasado por alto este tema o lo han reducido a actos vinculados a la sexualidad, como la prostitución. La criminología feminista intenta explorar las razones que impulsan a las mujeres a participar en conductas delictivas, </w:t>
      </w:r>
      <w:r w:rsidRPr="00B07D2E">
        <w:rPr>
          <w:rStyle w:val="Textoennegrita"/>
          <w:rFonts w:ascii="Arial" w:hAnsi="Arial" w:cs="Arial"/>
          <w:b w:val="0"/>
          <w:sz w:val="20"/>
        </w:rPr>
        <w:t>considerando</w:t>
      </w:r>
      <w:r w:rsidRPr="00B07D2E">
        <w:rPr>
          <w:rFonts w:ascii="Arial" w:hAnsi="Arial" w:cs="Arial"/>
          <w:sz w:val="20"/>
        </w:rPr>
        <w:t xml:space="preserve"> el contexto de desigualdad de género y las presiones sociales que enfrentan.</w:t>
      </w:r>
    </w:p>
    <w:p w14:paraId="427660DE" w14:textId="0798CDEA" w:rsidR="006E6C19" w:rsidRPr="00B07D2E" w:rsidRDefault="00D82E8D" w:rsidP="006E6C19">
      <w:pPr>
        <w:spacing w:after="0" w:line="240" w:lineRule="auto"/>
        <w:ind w:firstLine="709"/>
        <w:jc w:val="both"/>
        <w:rPr>
          <w:rFonts w:ascii="Arial" w:hAnsi="Arial" w:cs="Arial"/>
          <w:sz w:val="20"/>
        </w:rPr>
      </w:pPr>
      <w:r w:rsidRPr="00B07D2E">
        <w:rPr>
          <w:rFonts w:ascii="Arial" w:hAnsi="Arial" w:cs="Arial"/>
          <w:sz w:val="20"/>
        </w:rPr>
        <w:t xml:space="preserve">Ribeiro y Cavalcanti (2014) han ofrecido interpretaciones desde la sociología y la política para entender el feminicidio, enfatizando la relevancia de las dinámicas de poder y las desigualdades estructurales que alimentan la violencia contra las mujeres. Dentro de este marco, sostienen que el feminicidio es un fenómeno complejo que no se explica solo por factores individuales, sino que requiere ser analizado dentro de un </w:t>
      </w:r>
      <w:r w:rsidRPr="00B07D2E">
        <w:rPr>
          <w:rStyle w:val="Textoennegrita"/>
          <w:rFonts w:ascii="Arial" w:hAnsi="Arial" w:cs="Arial"/>
          <w:b w:val="0"/>
          <w:sz w:val="20"/>
        </w:rPr>
        <w:t>contexto</w:t>
      </w:r>
      <w:r w:rsidRPr="00B07D2E">
        <w:rPr>
          <w:rFonts w:ascii="Arial" w:hAnsi="Arial" w:cs="Arial"/>
          <w:b/>
          <w:sz w:val="20"/>
        </w:rPr>
        <w:t xml:space="preserve"> </w:t>
      </w:r>
      <w:r w:rsidRPr="00B07D2E">
        <w:rPr>
          <w:rFonts w:ascii="Arial" w:hAnsi="Arial" w:cs="Arial"/>
          <w:sz w:val="20"/>
        </w:rPr>
        <w:t>de relaciones sociales y culturales que refuerzan la desigualdad de género.</w:t>
      </w:r>
    </w:p>
    <w:p w14:paraId="2B76DF5D" w14:textId="2EB9F335" w:rsidR="00D82E8D" w:rsidRPr="00B07D2E" w:rsidRDefault="00D82E8D" w:rsidP="006E6C19">
      <w:pPr>
        <w:spacing w:after="0" w:line="240" w:lineRule="auto"/>
        <w:ind w:firstLine="709"/>
        <w:jc w:val="both"/>
        <w:rPr>
          <w:rFonts w:ascii="Arial" w:hAnsi="Arial" w:cs="Arial"/>
          <w:sz w:val="20"/>
        </w:rPr>
      </w:pPr>
      <w:r w:rsidRPr="00B07D2E">
        <w:rPr>
          <w:rFonts w:ascii="Arial" w:hAnsi="Arial" w:cs="Arial"/>
          <w:sz w:val="20"/>
        </w:rPr>
        <w:t>Finalmente, Sagot (2008) ha planteado enfoques desde una visión feminista para enfrentar la violencia hacia las mujeres en América Latina.</w:t>
      </w:r>
      <w:r w:rsidR="007C64CD" w:rsidRPr="00B07D2E">
        <w:rPr>
          <w:rFonts w:ascii="Arial" w:hAnsi="Arial" w:cs="Arial"/>
          <w:sz w:val="20"/>
        </w:rPr>
        <w:t xml:space="preserve"> Subraya </w:t>
      </w:r>
      <w:r w:rsidRPr="00B07D2E">
        <w:rPr>
          <w:rFonts w:ascii="Arial" w:hAnsi="Arial" w:cs="Arial"/>
          <w:sz w:val="20"/>
        </w:rPr>
        <w:t>la relevancia de implementar estrategias que consideren los factores estructurales detrás de la violencia de género y señala la importancia de asegurar que las víctimas de feminicidio cuenten con vías efectivas de acceso a la justicia.</w:t>
      </w:r>
    </w:p>
    <w:p w14:paraId="138E17C5" w14:textId="77777777" w:rsidR="00D82E8D" w:rsidRPr="00B07D2E" w:rsidRDefault="00D82E8D" w:rsidP="00E271E2">
      <w:pPr>
        <w:spacing w:after="0" w:line="240" w:lineRule="auto"/>
        <w:jc w:val="both"/>
        <w:rPr>
          <w:rFonts w:ascii="Arial" w:hAnsi="Arial" w:cs="Arial"/>
          <w:b/>
          <w:bCs/>
        </w:rPr>
      </w:pPr>
    </w:p>
    <w:p w14:paraId="79EAE700" w14:textId="2564EA22" w:rsidR="00683E7D" w:rsidRPr="00B07D2E" w:rsidRDefault="00683E7D" w:rsidP="00E271E2">
      <w:pPr>
        <w:spacing w:after="0" w:line="240" w:lineRule="auto"/>
        <w:jc w:val="both"/>
        <w:rPr>
          <w:rFonts w:ascii="Arial" w:hAnsi="Arial" w:cs="Arial"/>
          <w:b/>
          <w:bCs/>
        </w:rPr>
      </w:pPr>
      <w:r w:rsidRPr="00B07D2E">
        <w:rPr>
          <w:rFonts w:ascii="Arial" w:hAnsi="Arial" w:cs="Arial"/>
          <w:b/>
          <w:bCs/>
        </w:rPr>
        <w:t>Conclusiones</w:t>
      </w:r>
    </w:p>
    <w:p w14:paraId="46A186B2" w14:textId="77777777" w:rsidR="00D82E8D" w:rsidRPr="00B07D2E" w:rsidRDefault="00D82E8D" w:rsidP="00FE0A4C">
      <w:pPr>
        <w:spacing w:after="0" w:line="240" w:lineRule="auto"/>
        <w:ind w:firstLine="709"/>
        <w:jc w:val="both"/>
        <w:rPr>
          <w:rFonts w:ascii="Arial" w:hAnsi="Arial" w:cs="Arial"/>
          <w:kern w:val="0"/>
        </w:rPr>
      </w:pPr>
      <w:r w:rsidRPr="00B07D2E">
        <w:rPr>
          <w:rFonts w:ascii="Arial" w:hAnsi="Arial" w:cs="Arial"/>
          <w:sz w:val="20"/>
        </w:rPr>
        <w:t>Se determinó que el feminicidio representa una manifestación extrema de violencia de género, arraigada en la discriminación estructural hacia las mujeres y en una cultura patriarcal que promueve la dominación masculina. Este fenómeno pone de manifiesto las arraigadas desigualdades y normas sociales que perpetúan la violencia dirigida a las mujeres.</w:t>
      </w:r>
    </w:p>
    <w:p w14:paraId="3DB94463" w14:textId="77777777" w:rsidR="00D82E8D" w:rsidRPr="00B07D2E" w:rsidRDefault="00D82E8D" w:rsidP="00FE0A4C">
      <w:pPr>
        <w:spacing w:after="0" w:line="240" w:lineRule="auto"/>
        <w:ind w:firstLine="709"/>
        <w:jc w:val="both"/>
        <w:rPr>
          <w:rFonts w:ascii="Arial" w:hAnsi="Arial" w:cs="Arial"/>
          <w:sz w:val="20"/>
        </w:rPr>
      </w:pPr>
      <w:r w:rsidRPr="00B07D2E">
        <w:rPr>
          <w:rFonts w:ascii="Arial" w:hAnsi="Arial" w:cs="Arial"/>
          <w:sz w:val="20"/>
        </w:rPr>
        <w:t>Asimismo, se evidenció que la inclusión del feminicidio como delito en el sistema penal constituye un avance significativo, si bien resulta insuficiente. A pesar de que la creación de esta figura delictiva visibiliza el problema, las leyes por sí solas no garantizan la prevención y sanción efectiva, como lo demuestran las altas tasas persistentes en la región. Por consiguiente, es imperativo complementar estas disposiciones legales con políticas públicas, capacitación para los operadores judiciales, empoderamiento de las mujeres y otras medidas integrales.</w:t>
      </w:r>
    </w:p>
    <w:p w14:paraId="43ACECA0" w14:textId="4959504A" w:rsidR="00683E7D" w:rsidRPr="00B07D2E" w:rsidRDefault="00D82E8D" w:rsidP="00FE0A4C">
      <w:pPr>
        <w:spacing w:after="0" w:line="240" w:lineRule="auto"/>
        <w:ind w:firstLine="709"/>
        <w:jc w:val="both"/>
        <w:rPr>
          <w:rFonts w:ascii="Arial" w:hAnsi="Arial" w:cs="Arial"/>
          <w:sz w:val="20"/>
        </w:rPr>
      </w:pPr>
      <w:r w:rsidRPr="00B07D2E">
        <w:rPr>
          <w:rFonts w:ascii="Arial" w:hAnsi="Arial" w:cs="Arial"/>
          <w:sz w:val="20"/>
        </w:rPr>
        <w:t>Finalmente, se concluyó que los estereotipos de género y los roles tradicionales desempeñan un papel fundamental en la ocurrencia de los feminicidios, al perpetuar la desigualdad y justificar la violencia dirigida a las mujeres. Estos factores contribuyen a un entorno en el que la violencia de género se normaliza y se tolera socialmente, agravando la problemática y dificultando su erradicación.</w:t>
      </w:r>
    </w:p>
    <w:p w14:paraId="5BFE9941" w14:textId="77777777" w:rsidR="0046283F" w:rsidRPr="00B07D2E" w:rsidRDefault="0046283F" w:rsidP="00E271E2">
      <w:pPr>
        <w:spacing w:after="0" w:line="240" w:lineRule="auto"/>
        <w:ind w:firstLine="709"/>
        <w:jc w:val="both"/>
        <w:rPr>
          <w:rFonts w:ascii="Arial" w:hAnsi="Arial" w:cs="Arial"/>
          <w:sz w:val="20"/>
          <w:szCs w:val="20"/>
        </w:rPr>
      </w:pPr>
    </w:p>
    <w:p w14:paraId="27613B40" w14:textId="5324533E" w:rsidR="00BD2504" w:rsidRPr="00A508CC" w:rsidRDefault="00683E7D" w:rsidP="00A508CC">
      <w:pPr>
        <w:spacing w:after="0" w:line="240" w:lineRule="auto"/>
        <w:jc w:val="both"/>
        <w:rPr>
          <w:rFonts w:ascii="Arial" w:hAnsi="Arial" w:cs="Arial"/>
          <w:b/>
          <w:bCs/>
        </w:rPr>
      </w:pPr>
      <w:r w:rsidRPr="00B07D2E">
        <w:rPr>
          <w:rFonts w:ascii="Arial" w:hAnsi="Arial" w:cs="Arial"/>
          <w:b/>
          <w:bCs/>
        </w:rPr>
        <w:t>Referencias</w:t>
      </w:r>
    </w:p>
    <w:p w14:paraId="1B89B903" w14:textId="613FD9CA" w:rsidR="00126A02" w:rsidRPr="00B07D2E" w:rsidRDefault="00126A02" w:rsidP="005801AD">
      <w:pPr>
        <w:spacing w:after="0" w:line="240" w:lineRule="auto"/>
        <w:ind w:left="709" w:hanging="709"/>
        <w:jc w:val="both"/>
        <w:rPr>
          <w:rFonts w:ascii="Arial" w:hAnsi="Arial" w:cs="Arial"/>
          <w:kern w:val="0"/>
          <w:sz w:val="17"/>
          <w:szCs w:val="17"/>
        </w:rPr>
      </w:pPr>
      <w:r w:rsidRPr="00B07D2E">
        <w:rPr>
          <w:rFonts w:ascii="Arial" w:hAnsi="Arial" w:cs="Arial"/>
          <w:sz w:val="17"/>
          <w:szCs w:val="17"/>
        </w:rPr>
        <w:t xml:space="preserve">Aguilar, R. (2018). Tipologías de feminicidas con trastorno mental en España. </w:t>
      </w:r>
      <w:r w:rsidRPr="00B07D2E">
        <w:rPr>
          <w:rFonts w:ascii="Arial" w:hAnsi="Arial" w:cs="Arial"/>
          <w:i/>
          <w:sz w:val="17"/>
          <w:szCs w:val="17"/>
        </w:rPr>
        <w:t>Anales de Psiquiatría, 28</w:t>
      </w:r>
      <w:r w:rsidRPr="00B07D2E">
        <w:rPr>
          <w:rFonts w:ascii="Arial" w:hAnsi="Arial" w:cs="Arial"/>
          <w:sz w:val="17"/>
          <w:szCs w:val="17"/>
        </w:rPr>
        <w:t xml:space="preserve">(1), 39-46. </w:t>
      </w:r>
      <w:hyperlink r:id="rId10" w:history="1">
        <w:r w:rsidRPr="00B07D2E">
          <w:rPr>
            <w:rStyle w:val="Hipervnculo"/>
            <w:rFonts w:ascii="Arial" w:hAnsi="Arial" w:cs="Arial"/>
            <w:sz w:val="17"/>
            <w:szCs w:val="17"/>
          </w:rPr>
          <w:t>https://doi.org/10.5093/apj2018a4</w:t>
        </w:r>
      </w:hyperlink>
      <w:r w:rsidRPr="00B07D2E">
        <w:rPr>
          <w:rFonts w:ascii="Arial" w:hAnsi="Arial" w:cs="Arial"/>
          <w:sz w:val="17"/>
          <w:szCs w:val="17"/>
        </w:rPr>
        <w:t xml:space="preserve"> </w:t>
      </w:r>
    </w:p>
    <w:p w14:paraId="0D8B6D67" w14:textId="53C801C2"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Aldrete, M., y Fernández, M. (2023). </w:t>
      </w:r>
      <w:r w:rsidRPr="00B07D2E">
        <w:rPr>
          <w:rFonts w:ascii="Arial" w:hAnsi="Arial" w:cs="Arial"/>
          <w:sz w:val="17"/>
          <w:szCs w:val="17"/>
          <w:lang w:val="en-US"/>
        </w:rPr>
        <w:t xml:space="preserve">Framing femicide in the news, a paradoxical story: A comprehensive analysis of thematic and episodic frames. </w:t>
      </w:r>
      <w:r w:rsidRPr="00B07D2E">
        <w:rPr>
          <w:rFonts w:ascii="Arial" w:hAnsi="Arial" w:cs="Arial"/>
          <w:i/>
          <w:sz w:val="17"/>
          <w:szCs w:val="17"/>
        </w:rPr>
        <w:t xml:space="preserve">Crime, Media, Culture. </w:t>
      </w:r>
      <w:hyperlink r:id="rId11" w:history="1">
        <w:r w:rsidR="005801AD" w:rsidRPr="00B07D2E">
          <w:rPr>
            <w:rStyle w:val="Hipervnculo"/>
            <w:rFonts w:ascii="Arial" w:hAnsi="Arial" w:cs="Arial"/>
            <w:sz w:val="17"/>
            <w:szCs w:val="17"/>
          </w:rPr>
          <w:t>https://doi.org/10.1177/17416590231199771</w:t>
        </w:r>
      </w:hyperlink>
      <w:r w:rsidRPr="00B07D2E">
        <w:rPr>
          <w:rFonts w:ascii="Arial" w:hAnsi="Arial" w:cs="Arial"/>
          <w:sz w:val="17"/>
          <w:szCs w:val="17"/>
        </w:rPr>
        <w:t xml:space="preserve"> </w:t>
      </w:r>
    </w:p>
    <w:p w14:paraId="38F0BC92" w14:textId="046F79F2"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Bejarano, M. (2014). El feminicidio es sólo la punta del iceberg. </w:t>
      </w:r>
      <w:r w:rsidRPr="00B07D2E">
        <w:rPr>
          <w:rFonts w:ascii="Arial" w:hAnsi="Arial" w:cs="Arial"/>
          <w:i/>
          <w:sz w:val="17"/>
          <w:szCs w:val="17"/>
        </w:rPr>
        <w:t>Región y sociedad, 26</w:t>
      </w:r>
      <w:r w:rsidRPr="00B07D2E">
        <w:rPr>
          <w:rFonts w:ascii="Arial" w:hAnsi="Arial" w:cs="Arial"/>
          <w:sz w:val="17"/>
          <w:szCs w:val="17"/>
        </w:rPr>
        <w:t xml:space="preserve">(4), 13-44. </w:t>
      </w:r>
      <w:hyperlink r:id="rId12" w:history="1">
        <w:r w:rsidR="005801AD" w:rsidRPr="00B07D2E">
          <w:rPr>
            <w:rStyle w:val="Hipervnculo"/>
            <w:rFonts w:ascii="Arial" w:hAnsi="Arial" w:cs="Arial"/>
            <w:sz w:val="17"/>
            <w:szCs w:val="17"/>
          </w:rPr>
          <w:t>http://www.scielo.org.mx/scielo.php?script=sci_arttext&amp;pid=S187039252014000600002&amp;lng=es&amp;tlng=es</w:t>
        </w:r>
      </w:hyperlink>
    </w:p>
    <w:p w14:paraId="067EF0B4" w14:textId="67669B8B" w:rsidR="00126A02" w:rsidRPr="00B07D2E" w:rsidRDefault="00126A02" w:rsidP="005801AD">
      <w:pPr>
        <w:spacing w:after="0" w:line="240" w:lineRule="auto"/>
        <w:ind w:left="709" w:hanging="709"/>
        <w:jc w:val="both"/>
        <w:rPr>
          <w:rFonts w:ascii="Arial" w:hAnsi="Arial" w:cs="Arial"/>
          <w:sz w:val="17"/>
          <w:szCs w:val="17"/>
          <w:lang w:val="en-US"/>
        </w:rPr>
      </w:pPr>
      <w:r w:rsidRPr="00B07D2E">
        <w:rPr>
          <w:rFonts w:ascii="Arial" w:hAnsi="Arial" w:cs="Arial"/>
          <w:sz w:val="17"/>
          <w:szCs w:val="17"/>
        </w:rPr>
        <w:t xml:space="preserve">Borrero, G. R. (2021). Análisis Constitucional del Delito de Feminicidio y Transfeminicidio del Código Penal de Puerto Rico: Una Perspectiva Feminista. </w:t>
      </w:r>
      <w:r w:rsidRPr="00B07D2E">
        <w:rPr>
          <w:rFonts w:ascii="Arial" w:hAnsi="Arial" w:cs="Arial"/>
          <w:i/>
          <w:sz w:val="17"/>
          <w:szCs w:val="17"/>
          <w:lang w:val="en-US"/>
        </w:rPr>
        <w:t>Rev. Der. PR,</w:t>
      </w:r>
      <w:r w:rsidRPr="00B07D2E">
        <w:rPr>
          <w:rFonts w:ascii="Arial" w:hAnsi="Arial" w:cs="Arial"/>
          <w:sz w:val="17"/>
          <w:szCs w:val="17"/>
          <w:lang w:val="en-US"/>
        </w:rPr>
        <w:t xml:space="preserve"> </w:t>
      </w:r>
      <w:r w:rsidRPr="00B07D2E">
        <w:rPr>
          <w:rFonts w:ascii="Arial" w:hAnsi="Arial" w:cs="Arial"/>
          <w:i/>
          <w:sz w:val="17"/>
          <w:szCs w:val="17"/>
          <w:lang w:val="en-US"/>
        </w:rPr>
        <w:t>61</w:t>
      </w:r>
      <w:r w:rsidRPr="00B07D2E">
        <w:rPr>
          <w:rFonts w:ascii="Arial" w:hAnsi="Arial" w:cs="Arial"/>
          <w:sz w:val="17"/>
          <w:szCs w:val="17"/>
          <w:lang w:val="en-US"/>
        </w:rPr>
        <w:t xml:space="preserve">, 251. </w:t>
      </w:r>
      <w:hyperlink r:id="rId13" w:history="1">
        <w:r w:rsidRPr="00B07D2E">
          <w:rPr>
            <w:rStyle w:val="Hipervnculo"/>
            <w:rFonts w:ascii="Arial" w:hAnsi="Arial" w:cs="Arial"/>
            <w:sz w:val="17"/>
            <w:szCs w:val="17"/>
            <w:lang w:val="en-US"/>
          </w:rPr>
          <w:t>https://heinonline.org/HOL/LandingPage?handle=hein.journals/rvdpo61&amp;div=17&amp;id=&amp;page</w:t>
        </w:r>
      </w:hyperlink>
      <w:r w:rsidRPr="00B07D2E">
        <w:rPr>
          <w:rFonts w:ascii="Arial" w:hAnsi="Arial" w:cs="Arial"/>
          <w:sz w:val="17"/>
          <w:szCs w:val="17"/>
          <w:lang w:val="en-US"/>
        </w:rPr>
        <w:t xml:space="preserve">= </w:t>
      </w:r>
    </w:p>
    <w:p w14:paraId="4EE4DDB1" w14:textId="77777777" w:rsidR="00126A02" w:rsidRPr="00B07D2E" w:rsidRDefault="00126A02" w:rsidP="005801AD">
      <w:pPr>
        <w:spacing w:after="0" w:line="240" w:lineRule="auto"/>
        <w:ind w:left="709" w:hanging="709"/>
        <w:jc w:val="both"/>
        <w:rPr>
          <w:rFonts w:ascii="Arial" w:hAnsi="Arial" w:cs="Arial"/>
          <w:sz w:val="17"/>
          <w:szCs w:val="17"/>
          <w:lang w:val="es-PE"/>
        </w:rPr>
      </w:pPr>
      <w:r w:rsidRPr="00B07D2E">
        <w:rPr>
          <w:rFonts w:ascii="Arial" w:hAnsi="Arial" w:cs="Arial"/>
          <w:sz w:val="17"/>
          <w:szCs w:val="17"/>
          <w:lang w:val="en-US"/>
        </w:rPr>
        <w:t xml:space="preserve">Burgess-Proctor, A. (2006). Intersections of race, class, gender and crime: Future directions for feminist criminology. </w:t>
      </w:r>
      <w:r w:rsidRPr="00B07D2E">
        <w:rPr>
          <w:rFonts w:ascii="Arial" w:hAnsi="Arial" w:cs="Arial"/>
          <w:i/>
          <w:sz w:val="17"/>
          <w:szCs w:val="17"/>
        </w:rPr>
        <w:t>Feminist Criminology, 1</w:t>
      </w:r>
      <w:r w:rsidRPr="00B07D2E">
        <w:rPr>
          <w:rFonts w:ascii="Arial" w:hAnsi="Arial" w:cs="Arial"/>
          <w:sz w:val="17"/>
          <w:szCs w:val="17"/>
        </w:rPr>
        <w:t xml:space="preserve">(1), 27–47. </w:t>
      </w:r>
      <w:hyperlink r:id="rId14" w:history="1">
        <w:r w:rsidRPr="00B07D2E">
          <w:rPr>
            <w:rStyle w:val="Hipervnculo"/>
            <w:rFonts w:ascii="Arial" w:hAnsi="Arial" w:cs="Arial"/>
            <w:sz w:val="17"/>
            <w:szCs w:val="17"/>
          </w:rPr>
          <w:t>https://doi.org/10.1177/1557085105282899</w:t>
        </w:r>
      </w:hyperlink>
      <w:r w:rsidRPr="00B07D2E">
        <w:rPr>
          <w:rFonts w:ascii="Arial" w:hAnsi="Arial" w:cs="Arial"/>
          <w:sz w:val="17"/>
          <w:szCs w:val="17"/>
        </w:rPr>
        <w:t xml:space="preserve"> </w:t>
      </w:r>
    </w:p>
    <w:p w14:paraId="3D19A0E6" w14:textId="12A1B2BB"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Burin, M. (2021). </w:t>
      </w:r>
      <w:r w:rsidRPr="00B07D2E">
        <w:rPr>
          <w:rFonts w:ascii="Arial" w:hAnsi="Arial" w:cs="Arial"/>
          <w:i/>
          <w:sz w:val="17"/>
          <w:szCs w:val="17"/>
        </w:rPr>
        <w:t>Feminicidio en América Latina: Un problema creciente.</w:t>
      </w:r>
      <w:r w:rsidRPr="00B07D2E">
        <w:rPr>
          <w:rFonts w:ascii="Arial" w:hAnsi="Arial" w:cs="Arial"/>
          <w:sz w:val="17"/>
          <w:szCs w:val="17"/>
        </w:rPr>
        <w:t xml:space="preserve"> Siglo XXI.</w:t>
      </w:r>
    </w:p>
    <w:p w14:paraId="1B3E69FA" w14:textId="48E6D3C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Carrigan, M. y Dawson, M. (2020). Representaciones problemáticas del feminicidio/legislación de feminicidio en América Latina. Revista Internacional sobre Crimen, </w:t>
      </w:r>
      <w:r w:rsidRPr="00B07D2E">
        <w:rPr>
          <w:rFonts w:ascii="Arial" w:hAnsi="Arial" w:cs="Arial"/>
          <w:i/>
          <w:sz w:val="17"/>
          <w:szCs w:val="17"/>
        </w:rPr>
        <w:t>Justicia y Democracia Social, 9</w:t>
      </w:r>
      <w:r w:rsidRPr="00B07D2E">
        <w:rPr>
          <w:rFonts w:ascii="Arial" w:hAnsi="Arial" w:cs="Arial"/>
          <w:sz w:val="17"/>
          <w:szCs w:val="17"/>
        </w:rPr>
        <w:t xml:space="preserve"> (2), 1-19. </w:t>
      </w:r>
      <w:hyperlink r:id="rId15" w:history="1">
        <w:r w:rsidR="005801AD" w:rsidRPr="00B07D2E">
          <w:rPr>
            <w:rStyle w:val="Hipervnculo"/>
            <w:rFonts w:ascii="Arial" w:hAnsi="Arial" w:cs="Arial"/>
            <w:sz w:val="17"/>
            <w:szCs w:val="17"/>
          </w:rPr>
          <w:t>https://doi.org/10.5204/ijcjsd.v9i2.1354</w:t>
        </w:r>
      </w:hyperlink>
      <w:r w:rsidRPr="00B07D2E">
        <w:rPr>
          <w:rFonts w:ascii="Arial" w:hAnsi="Arial" w:cs="Arial"/>
          <w:sz w:val="17"/>
          <w:szCs w:val="17"/>
        </w:rPr>
        <w:t xml:space="preserve"> </w:t>
      </w:r>
    </w:p>
    <w:p w14:paraId="44746E2B"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Comisión Económica para América Latina y el Caribe (CEPAL). (2023). Al menos 4.473 mujeres fueron víctimas de feminicidio en América Latina y el Caribe en 2021. </w:t>
      </w:r>
      <w:hyperlink r:id="rId16" w:history="1">
        <w:r w:rsidRPr="00B07D2E">
          <w:rPr>
            <w:rStyle w:val="Hipervnculo"/>
            <w:rFonts w:ascii="Arial" w:hAnsi="Arial" w:cs="Arial"/>
            <w:sz w:val="17"/>
            <w:szCs w:val="17"/>
          </w:rPr>
          <w:t>https://goo.su/iNdxU</w:t>
        </w:r>
      </w:hyperlink>
      <w:r w:rsidRPr="00B07D2E">
        <w:rPr>
          <w:rFonts w:ascii="Arial" w:hAnsi="Arial" w:cs="Arial"/>
          <w:sz w:val="17"/>
          <w:szCs w:val="17"/>
        </w:rPr>
        <w:t xml:space="preserve"> </w:t>
      </w:r>
    </w:p>
    <w:p w14:paraId="41B33300"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Comité Estadístico interinstitucional de la Criminalidad - CIC. (2021). </w:t>
      </w:r>
      <w:r w:rsidRPr="00B07D2E">
        <w:rPr>
          <w:rFonts w:ascii="Arial" w:hAnsi="Arial" w:cs="Arial"/>
          <w:i/>
          <w:sz w:val="17"/>
          <w:szCs w:val="17"/>
        </w:rPr>
        <w:t>Perú: feminicidio y Violencia contra la Mujer 2015-2020.</w:t>
      </w:r>
      <w:r w:rsidRPr="00B07D2E">
        <w:rPr>
          <w:rFonts w:ascii="Arial" w:hAnsi="Arial" w:cs="Arial"/>
          <w:sz w:val="17"/>
          <w:szCs w:val="17"/>
        </w:rPr>
        <w:t xml:space="preserve"> Editores Maraucano SAC. </w:t>
      </w:r>
      <w:hyperlink r:id="rId17" w:history="1">
        <w:r w:rsidRPr="00B07D2E">
          <w:rPr>
            <w:rStyle w:val="Hipervnculo"/>
            <w:rFonts w:ascii="Arial" w:hAnsi="Arial" w:cs="Arial"/>
            <w:sz w:val="17"/>
            <w:szCs w:val="17"/>
          </w:rPr>
          <w:t>https://cdn.www.gob.pe/uploads/document/file/3989367/Feminicio2022.pdf.pdf</w:t>
        </w:r>
      </w:hyperlink>
      <w:r w:rsidRPr="00B07D2E">
        <w:rPr>
          <w:rFonts w:ascii="Arial" w:hAnsi="Arial" w:cs="Arial"/>
          <w:sz w:val="17"/>
          <w:szCs w:val="17"/>
        </w:rPr>
        <w:t xml:space="preserve"> </w:t>
      </w:r>
    </w:p>
    <w:p w14:paraId="12B85681"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Cortés, J. (2020). </w:t>
      </w:r>
      <w:r w:rsidRPr="00B07D2E">
        <w:rPr>
          <w:rFonts w:ascii="Arial" w:hAnsi="Arial" w:cs="Arial"/>
          <w:i/>
          <w:sz w:val="17"/>
          <w:szCs w:val="17"/>
        </w:rPr>
        <w:t>El feminicidio no es un delito de género.</w:t>
      </w:r>
      <w:r w:rsidRPr="00B07D2E">
        <w:rPr>
          <w:rFonts w:ascii="Arial" w:hAnsi="Arial" w:cs="Arial"/>
          <w:sz w:val="17"/>
          <w:szCs w:val="17"/>
        </w:rPr>
        <w:t xml:space="preserve"> Universidad Nacional de Colombia.</w:t>
      </w:r>
    </w:p>
    <w:p w14:paraId="44DB3BA0" w14:textId="0E297500"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Cruz, M. (2017). Un abordaje de la noción de feminicidio desde una perspectiva psicoanalítica como recurso para mejorar la aplicación de la normativa legal vigente. </w:t>
      </w:r>
      <w:r w:rsidRPr="00B07D2E">
        <w:rPr>
          <w:rFonts w:ascii="Arial" w:hAnsi="Arial" w:cs="Arial"/>
          <w:i/>
          <w:sz w:val="17"/>
          <w:szCs w:val="17"/>
        </w:rPr>
        <w:t>Ajayu Órgano de Difusión Científica del Departamento de Psicología UCBSP, 15</w:t>
      </w:r>
      <w:r w:rsidRPr="00B07D2E">
        <w:rPr>
          <w:rFonts w:ascii="Arial" w:hAnsi="Arial" w:cs="Arial"/>
          <w:sz w:val="17"/>
          <w:szCs w:val="17"/>
        </w:rPr>
        <w:t xml:space="preserve">(2), 214-251. </w:t>
      </w:r>
      <w:hyperlink r:id="rId18" w:history="1">
        <w:r w:rsidRPr="00B07D2E">
          <w:rPr>
            <w:rStyle w:val="Hipervnculo"/>
            <w:rFonts w:ascii="Arial" w:hAnsi="Arial" w:cs="Arial"/>
            <w:sz w:val="17"/>
            <w:szCs w:val="17"/>
          </w:rPr>
          <w:t>https://goo.su/0cwKdB</w:t>
        </w:r>
      </w:hyperlink>
      <w:r w:rsidRPr="00B07D2E">
        <w:rPr>
          <w:rFonts w:ascii="Arial" w:hAnsi="Arial" w:cs="Arial"/>
          <w:sz w:val="17"/>
          <w:szCs w:val="17"/>
        </w:rPr>
        <w:t xml:space="preserve"> </w:t>
      </w:r>
    </w:p>
    <w:p w14:paraId="298B3BC6" w14:textId="4BB1E981"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Cubo, Á. (2019). El Derecho como ciencia hermenéutica: la dimensión jurídica de la acción humana. </w:t>
      </w:r>
      <w:r w:rsidRPr="00B07D2E">
        <w:rPr>
          <w:rFonts w:ascii="Arial" w:hAnsi="Arial" w:cs="Arial"/>
          <w:i/>
          <w:sz w:val="17"/>
          <w:szCs w:val="17"/>
        </w:rPr>
        <w:t>Anuario de la facultad de Derecho. Universidad de Extremadura,</w:t>
      </w:r>
      <w:r w:rsidRPr="00B07D2E">
        <w:rPr>
          <w:rFonts w:ascii="Arial" w:hAnsi="Arial" w:cs="Arial"/>
          <w:sz w:val="17"/>
          <w:szCs w:val="17"/>
        </w:rPr>
        <w:t xml:space="preserve"> (35), 397-442. </w:t>
      </w:r>
      <w:hyperlink r:id="rId19" w:history="1">
        <w:r w:rsidRPr="00B07D2E">
          <w:rPr>
            <w:rStyle w:val="Hipervnculo"/>
            <w:rFonts w:ascii="Arial" w:hAnsi="Arial" w:cs="Arial"/>
            <w:sz w:val="17"/>
            <w:szCs w:val="17"/>
          </w:rPr>
          <w:t>https://doi.org/10.17398/2695-7728.35.397</w:t>
        </w:r>
      </w:hyperlink>
      <w:r w:rsidRPr="00B07D2E">
        <w:rPr>
          <w:rFonts w:ascii="Arial" w:hAnsi="Arial" w:cs="Arial"/>
          <w:sz w:val="17"/>
          <w:szCs w:val="17"/>
        </w:rPr>
        <w:t xml:space="preserve"> </w:t>
      </w:r>
    </w:p>
    <w:p w14:paraId="5D80DBD1"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Decreto del Congreso 22-2008, Ley contra el femicidio y otras formas de violencia contra la mujer de 2008. (2008). Congreso de la República de Guatemala. </w:t>
      </w:r>
      <w:hyperlink r:id="rId20" w:history="1">
        <w:r w:rsidRPr="00B07D2E">
          <w:rPr>
            <w:rStyle w:val="Hipervnculo"/>
            <w:rFonts w:ascii="Arial" w:hAnsi="Arial" w:cs="Arial"/>
            <w:sz w:val="17"/>
            <w:szCs w:val="17"/>
          </w:rPr>
          <w:t>https://goo.su/ibTfg</w:t>
        </w:r>
      </w:hyperlink>
      <w:r w:rsidRPr="00B07D2E">
        <w:rPr>
          <w:rFonts w:ascii="Arial" w:hAnsi="Arial" w:cs="Arial"/>
          <w:sz w:val="17"/>
          <w:szCs w:val="17"/>
        </w:rPr>
        <w:t xml:space="preserve"> </w:t>
      </w:r>
    </w:p>
    <w:p w14:paraId="337DC64E" w14:textId="0357D31B"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lastRenderedPageBreak/>
        <w:t xml:space="preserve">D'Ignazio, C., Cruxên, I., Val, HS, Cuba, AM, García-Montes, M., Fumega, S., y So, W. (2022). Feminicidio y producción de contradatos: esfuerzos activistas para monitorear y desafiar la violencia de género. </w:t>
      </w:r>
      <w:r w:rsidRPr="00B07D2E">
        <w:rPr>
          <w:rFonts w:ascii="Arial" w:hAnsi="Arial" w:cs="Arial"/>
          <w:i/>
          <w:sz w:val="17"/>
          <w:szCs w:val="17"/>
        </w:rPr>
        <w:t>Patrones, 3</w:t>
      </w:r>
      <w:r w:rsidRPr="00B07D2E">
        <w:rPr>
          <w:rFonts w:ascii="Arial" w:hAnsi="Arial" w:cs="Arial"/>
          <w:sz w:val="17"/>
          <w:szCs w:val="17"/>
        </w:rPr>
        <w:t xml:space="preserve">(7). </w:t>
      </w:r>
      <w:hyperlink r:id="rId21" w:history="1">
        <w:r w:rsidRPr="00B07D2E">
          <w:rPr>
            <w:rStyle w:val="Hipervnculo"/>
            <w:rFonts w:ascii="Arial" w:hAnsi="Arial" w:cs="Arial"/>
            <w:sz w:val="17"/>
            <w:szCs w:val="17"/>
          </w:rPr>
          <w:t>https://doi.org/10.1016/j.patter.2022.100530</w:t>
        </w:r>
      </w:hyperlink>
      <w:r w:rsidRPr="00B07D2E">
        <w:rPr>
          <w:rFonts w:ascii="Arial" w:hAnsi="Arial" w:cs="Arial"/>
          <w:sz w:val="17"/>
          <w:szCs w:val="17"/>
        </w:rPr>
        <w:t xml:space="preserve"> </w:t>
      </w:r>
    </w:p>
    <w:p w14:paraId="7B2D6EF5" w14:textId="77777777" w:rsidR="00126A02" w:rsidRPr="00B07D2E" w:rsidRDefault="00126A02" w:rsidP="005801AD">
      <w:pPr>
        <w:spacing w:after="0" w:line="240" w:lineRule="auto"/>
        <w:ind w:left="709" w:hanging="709"/>
        <w:jc w:val="both"/>
        <w:rPr>
          <w:rFonts w:ascii="Arial" w:hAnsi="Arial" w:cs="Arial"/>
          <w:sz w:val="17"/>
          <w:szCs w:val="17"/>
          <w:lang w:val="en-US"/>
        </w:rPr>
      </w:pPr>
      <w:r w:rsidRPr="00B07D2E">
        <w:rPr>
          <w:rFonts w:ascii="Arial" w:hAnsi="Arial" w:cs="Arial"/>
          <w:sz w:val="17"/>
          <w:szCs w:val="17"/>
        </w:rPr>
        <w:t xml:space="preserve">El comentario (2022). Registró Perú al menos 3 feminicidios a la semana en 2022. </w:t>
      </w:r>
      <w:hyperlink r:id="rId22" w:history="1">
        <w:r w:rsidRPr="00B07D2E">
          <w:rPr>
            <w:rStyle w:val="Hipervnculo"/>
            <w:rFonts w:ascii="Arial" w:hAnsi="Arial" w:cs="Arial"/>
            <w:sz w:val="17"/>
            <w:szCs w:val="17"/>
            <w:lang w:val="en-US"/>
          </w:rPr>
          <w:t>https://goo.su/p8QXQlr</w:t>
        </w:r>
      </w:hyperlink>
      <w:r w:rsidRPr="00B07D2E">
        <w:rPr>
          <w:rFonts w:ascii="Arial" w:hAnsi="Arial" w:cs="Arial"/>
          <w:sz w:val="17"/>
          <w:szCs w:val="17"/>
          <w:lang w:val="en-US"/>
        </w:rPr>
        <w:t xml:space="preserve"> </w:t>
      </w:r>
    </w:p>
    <w:p w14:paraId="190697EE" w14:textId="4D308827" w:rsidR="00126A02" w:rsidRPr="00B07D2E" w:rsidRDefault="00126A02" w:rsidP="005801AD">
      <w:pPr>
        <w:spacing w:after="0" w:line="240" w:lineRule="auto"/>
        <w:ind w:left="709" w:hanging="709"/>
        <w:jc w:val="both"/>
        <w:rPr>
          <w:rFonts w:ascii="Arial" w:hAnsi="Arial" w:cs="Arial"/>
          <w:sz w:val="17"/>
          <w:szCs w:val="17"/>
          <w:lang w:val="es-PE"/>
        </w:rPr>
      </w:pPr>
      <w:r w:rsidRPr="00B07D2E">
        <w:rPr>
          <w:rFonts w:ascii="Arial" w:hAnsi="Arial" w:cs="Arial"/>
          <w:sz w:val="17"/>
          <w:szCs w:val="17"/>
          <w:lang w:val="en-US"/>
        </w:rPr>
        <w:t xml:space="preserve">Frías, S. M. (2023). Femicide and feminicide in Mexico: patterns and trends in indigenous and non-indigenous regions. </w:t>
      </w:r>
      <w:r w:rsidRPr="00B07D2E">
        <w:rPr>
          <w:rFonts w:ascii="Arial" w:hAnsi="Arial" w:cs="Arial"/>
          <w:i/>
          <w:sz w:val="17"/>
          <w:szCs w:val="17"/>
        </w:rPr>
        <w:t>Feminist Criminology, 18</w:t>
      </w:r>
      <w:r w:rsidRPr="00B07D2E">
        <w:rPr>
          <w:rFonts w:ascii="Arial" w:hAnsi="Arial" w:cs="Arial"/>
          <w:sz w:val="17"/>
          <w:szCs w:val="17"/>
        </w:rPr>
        <w:t xml:space="preserve">(1), 3-23. </w:t>
      </w:r>
      <w:hyperlink r:id="rId23" w:history="1">
        <w:r w:rsidRPr="00B07D2E">
          <w:rPr>
            <w:rStyle w:val="Hipervnculo"/>
            <w:rFonts w:ascii="Arial" w:hAnsi="Arial" w:cs="Arial"/>
            <w:sz w:val="17"/>
            <w:szCs w:val="17"/>
          </w:rPr>
          <w:t>https://doi.org/10.1177/15570851211029377</w:t>
        </w:r>
      </w:hyperlink>
      <w:r w:rsidRPr="00B07D2E">
        <w:rPr>
          <w:rFonts w:ascii="Arial" w:hAnsi="Arial" w:cs="Arial"/>
          <w:sz w:val="17"/>
          <w:szCs w:val="17"/>
        </w:rPr>
        <w:t xml:space="preserve"> </w:t>
      </w:r>
    </w:p>
    <w:p w14:paraId="2CFF40BB"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García, E., Almeda, N., Fernández, F., y Becerra, D. (2022). </w:t>
      </w:r>
      <w:r w:rsidRPr="00B07D2E">
        <w:rPr>
          <w:rFonts w:ascii="Arial" w:hAnsi="Arial" w:cs="Arial"/>
          <w:sz w:val="17"/>
          <w:szCs w:val="17"/>
          <w:lang w:val="en-US"/>
        </w:rPr>
        <w:t xml:space="preserve">Risk Assessment Instruments for Intimate Partner Femicide: A Systematic Review. </w:t>
      </w:r>
      <w:r w:rsidRPr="00B07D2E">
        <w:rPr>
          <w:rFonts w:ascii="Arial" w:hAnsi="Arial" w:cs="Arial"/>
          <w:i/>
          <w:sz w:val="17"/>
          <w:szCs w:val="17"/>
        </w:rPr>
        <w:t xml:space="preserve">Frontiers in psychology, </w:t>
      </w:r>
      <w:r w:rsidRPr="00B07D2E">
        <w:rPr>
          <w:rFonts w:ascii="Arial" w:hAnsi="Arial" w:cs="Arial"/>
          <w:sz w:val="17"/>
          <w:szCs w:val="17"/>
        </w:rPr>
        <w:t xml:space="preserve">13, 896901. </w:t>
      </w:r>
      <w:hyperlink r:id="rId24" w:history="1">
        <w:r w:rsidRPr="00B07D2E">
          <w:rPr>
            <w:rStyle w:val="Hipervnculo"/>
            <w:rFonts w:ascii="Arial" w:hAnsi="Arial" w:cs="Arial"/>
            <w:sz w:val="17"/>
            <w:szCs w:val="17"/>
          </w:rPr>
          <w:t>https://doi.org/10.3389/fpsyg.2022.896901</w:t>
        </w:r>
      </w:hyperlink>
      <w:r w:rsidRPr="00B07D2E">
        <w:rPr>
          <w:rFonts w:ascii="Arial" w:hAnsi="Arial" w:cs="Arial"/>
          <w:sz w:val="17"/>
          <w:szCs w:val="17"/>
        </w:rPr>
        <w:t xml:space="preserve"> </w:t>
      </w:r>
    </w:p>
    <w:p w14:paraId="57631369" w14:textId="0DC79459" w:rsidR="00126A02" w:rsidRPr="00B07D2E" w:rsidRDefault="00126A02" w:rsidP="005801AD">
      <w:pPr>
        <w:spacing w:after="0" w:line="240" w:lineRule="auto"/>
        <w:ind w:left="709" w:hanging="709"/>
        <w:jc w:val="both"/>
        <w:rPr>
          <w:rFonts w:ascii="Arial" w:hAnsi="Arial" w:cs="Arial"/>
          <w:sz w:val="17"/>
          <w:szCs w:val="17"/>
          <w:lang w:val="es-PE"/>
        </w:rPr>
      </w:pPr>
      <w:r w:rsidRPr="00B07D2E">
        <w:rPr>
          <w:rFonts w:ascii="Arial" w:hAnsi="Arial" w:cs="Arial"/>
          <w:sz w:val="17"/>
          <w:szCs w:val="17"/>
        </w:rPr>
        <w:t xml:space="preserve">González, R. (2014). Cuando el derecho penal no basta. Reflexiones en torno a la tipificación del feminicidio en México. </w:t>
      </w:r>
      <w:r w:rsidRPr="00B07D2E">
        <w:rPr>
          <w:rFonts w:ascii="Arial" w:hAnsi="Arial" w:cs="Arial"/>
          <w:i/>
          <w:sz w:val="17"/>
          <w:szCs w:val="17"/>
        </w:rPr>
        <w:t>Alegatos,</w:t>
      </w:r>
      <w:r w:rsidRPr="00B07D2E">
        <w:rPr>
          <w:rFonts w:ascii="Arial" w:hAnsi="Arial" w:cs="Arial"/>
          <w:sz w:val="17"/>
          <w:szCs w:val="17"/>
        </w:rPr>
        <w:t xml:space="preserve"> (87), pp. 271-308.  </w:t>
      </w:r>
      <w:hyperlink r:id="rId25" w:history="1">
        <w:r w:rsidRPr="00B07D2E">
          <w:rPr>
            <w:rStyle w:val="Hipervnculo"/>
            <w:rFonts w:ascii="Arial" w:hAnsi="Arial" w:cs="Arial"/>
            <w:sz w:val="17"/>
            <w:szCs w:val="17"/>
          </w:rPr>
          <w:t>https://alegatos.azc.uam.mx/index.php/ra/article/view/106</w:t>
        </w:r>
      </w:hyperlink>
      <w:r w:rsidRPr="00B07D2E">
        <w:rPr>
          <w:rFonts w:ascii="Arial" w:hAnsi="Arial" w:cs="Arial"/>
          <w:sz w:val="17"/>
          <w:szCs w:val="17"/>
        </w:rPr>
        <w:t xml:space="preserve"> </w:t>
      </w:r>
    </w:p>
    <w:p w14:paraId="0EEC75F2" w14:textId="6323B271"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Incháustegui, T. (2014). Sociología y política del feminicidio; algunas claves interpretativas a partir de caso mexicano. </w:t>
      </w:r>
      <w:r w:rsidRPr="00B07D2E">
        <w:rPr>
          <w:rFonts w:ascii="Arial" w:hAnsi="Arial" w:cs="Arial"/>
          <w:i/>
          <w:sz w:val="17"/>
          <w:szCs w:val="17"/>
        </w:rPr>
        <w:t>Sociedade e Estado, 29,</w:t>
      </w:r>
      <w:r w:rsidR="005801AD" w:rsidRPr="00B07D2E">
        <w:rPr>
          <w:rFonts w:ascii="Arial" w:hAnsi="Arial" w:cs="Arial"/>
          <w:sz w:val="17"/>
          <w:szCs w:val="17"/>
        </w:rPr>
        <w:t xml:space="preserve"> </w:t>
      </w:r>
      <w:r w:rsidRPr="00B07D2E">
        <w:rPr>
          <w:rFonts w:ascii="Arial" w:hAnsi="Arial" w:cs="Arial"/>
          <w:sz w:val="17"/>
          <w:szCs w:val="17"/>
        </w:rPr>
        <w:t xml:space="preserve">373-400.  </w:t>
      </w:r>
      <w:hyperlink r:id="rId26" w:history="1">
        <w:r w:rsidRPr="00B07D2E">
          <w:rPr>
            <w:rStyle w:val="Hipervnculo"/>
            <w:rFonts w:ascii="Arial" w:hAnsi="Arial" w:cs="Arial"/>
            <w:sz w:val="17"/>
            <w:szCs w:val="17"/>
          </w:rPr>
          <w:t>https://doi.org/10.1590/S0102-69922014000200004</w:t>
        </w:r>
      </w:hyperlink>
      <w:r w:rsidRPr="00B07D2E">
        <w:rPr>
          <w:rFonts w:ascii="Arial" w:hAnsi="Arial" w:cs="Arial"/>
          <w:sz w:val="17"/>
          <w:szCs w:val="17"/>
        </w:rPr>
        <w:t xml:space="preserve">  </w:t>
      </w:r>
    </w:p>
    <w:p w14:paraId="20756D61"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Instituto Nacional de Estadística e Informática (INEI) (2022). 147 víctimas de feminicidio se registraron en el año 2022. </w:t>
      </w:r>
      <w:hyperlink r:id="rId27" w:history="1">
        <w:r w:rsidRPr="00B07D2E">
          <w:rPr>
            <w:rStyle w:val="Hipervnculo"/>
            <w:rFonts w:ascii="Arial" w:hAnsi="Arial" w:cs="Arial"/>
            <w:sz w:val="17"/>
            <w:szCs w:val="17"/>
          </w:rPr>
          <w:t>https://m.inei.gob.pe/prensa/noticias/147-victimas-de-feminicidio-se-registraron-en-el-ano-2022-14592/</w:t>
        </w:r>
      </w:hyperlink>
      <w:r w:rsidRPr="00B07D2E">
        <w:rPr>
          <w:rFonts w:ascii="Arial" w:hAnsi="Arial" w:cs="Arial"/>
          <w:sz w:val="17"/>
          <w:szCs w:val="17"/>
        </w:rPr>
        <w:t xml:space="preserve"> </w:t>
      </w:r>
    </w:p>
    <w:p w14:paraId="53F1D903"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Ley 20.480, tipifica el femicidio y modifica las normas sobre parricidio y filicidio de 2010. (2010, 11 de noviembre). Congreso Nacional de Chile. Biblioteca del Congreso Nacional de Chile. </w:t>
      </w:r>
      <w:hyperlink r:id="rId28" w:history="1">
        <w:r w:rsidRPr="00B07D2E">
          <w:rPr>
            <w:rStyle w:val="Hipervnculo"/>
            <w:rFonts w:ascii="Arial" w:hAnsi="Arial" w:cs="Arial"/>
            <w:sz w:val="17"/>
            <w:szCs w:val="17"/>
          </w:rPr>
          <w:t>https://goo.su/sUDFHt</w:t>
        </w:r>
      </w:hyperlink>
      <w:r w:rsidRPr="00B07D2E">
        <w:rPr>
          <w:rFonts w:ascii="Arial" w:hAnsi="Arial" w:cs="Arial"/>
          <w:sz w:val="17"/>
          <w:szCs w:val="17"/>
        </w:rPr>
        <w:t xml:space="preserve"> </w:t>
      </w:r>
    </w:p>
    <w:p w14:paraId="001F1977"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Ley de penalización de la violencia contra las mujeres N° 8589 de 2007. (2007, 30 de mayo). Asamblea Legislativa de Costa Rica. Sistema Costarricense de Información Jurídica. </w:t>
      </w:r>
      <w:hyperlink r:id="rId29" w:history="1">
        <w:r w:rsidRPr="00B07D2E">
          <w:rPr>
            <w:rStyle w:val="Hipervnculo"/>
            <w:rFonts w:ascii="Arial" w:hAnsi="Arial" w:cs="Arial"/>
            <w:sz w:val="17"/>
            <w:szCs w:val="17"/>
          </w:rPr>
          <w:t>http://www.pgrweb.go.cr/scij/Busqueda/Normativa/Normas/nrm_texto_completo.aspx?param1=NRTC&amp;nValor1=1&amp;nValor2=60183&amp;nValor3=98550&amp;strTipM=TC</w:t>
        </w:r>
      </w:hyperlink>
      <w:r w:rsidRPr="00B07D2E">
        <w:rPr>
          <w:rFonts w:ascii="Arial" w:hAnsi="Arial" w:cs="Arial"/>
          <w:sz w:val="17"/>
          <w:szCs w:val="17"/>
        </w:rPr>
        <w:t xml:space="preserve"> </w:t>
      </w:r>
    </w:p>
    <w:p w14:paraId="4420A7BF"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Ley General de Acceso de las Mujeres a una Vida Libre de Violencia de 2007. (2007, 1 de febrero). Cámara de Diputados de México. </w:t>
      </w:r>
      <w:hyperlink r:id="rId30" w:history="1">
        <w:r w:rsidRPr="00B07D2E">
          <w:rPr>
            <w:rStyle w:val="Hipervnculo"/>
            <w:rFonts w:ascii="Arial" w:hAnsi="Arial" w:cs="Arial"/>
            <w:sz w:val="17"/>
            <w:szCs w:val="17"/>
          </w:rPr>
          <w:t>https://www.gob.mx/conavim/documentos/ley-general-de-acceso-de-las-mujeres-a-una-vida-libre-de-violencia-pdf</w:t>
        </w:r>
      </w:hyperlink>
      <w:r w:rsidRPr="00B07D2E">
        <w:rPr>
          <w:rFonts w:ascii="Arial" w:hAnsi="Arial" w:cs="Arial"/>
          <w:sz w:val="17"/>
          <w:szCs w:val="17"/>
        </w:rPr>
        <w:t xml:space="preserve"> </w:t>
      </w:r>
    </w:p>
    <w:p w14:paraId="33D02919" w14:textId="7A81F380" w:rsidR="00126A02" w:rsidRPr="00B07D2E" w:rsidRDefault="00126A02" w:rsidP="005801AD">
      <w:pPr>
        <w:spacing w:after="0" w:line="240" w:lineRule="auto"/>
        <w:ind w:left="709" w:hanging="709"/>
        <w:jc w:val="both"/>
        <w:rPr>
          <w:rFonts w:ascii="Arial" w:hAnsi="Arial" w:cs="Arial"/>
          <w:sz w:val="17"/>
          <w:szCs w:val="17"/>
          <w:lang w:val="en-US"/>
        </w:rPr>
      </w:pPr>
      <w:r w:rsidRPr="00B07D2E">
        <w:rPr>
          <w:rFonts w:ascii="Arial" w:hAnsi="Arial" w:cs="Arial"/>
          <w:sz w:val="17"/>
          <w:szCs w:val="17"/>
          <w:lang w:val="en-US"/>
        </w:rPr>
        <w:t xml:space="preserve">McFarlane, J. M., Campbell, J. C., Wilt, S., Sachs, C. J., Ulrich, Y., y Xu, X. (1999). Stalking and intimate partner femicide. </w:t>
      </w:r>
      <w:r w:rsidRPr="00B07D2E">
        <w:rPr>
          <w:rFonts w:ascii="Arial" w:hAnsi="Arial" w:cs="Arial"/>
          <w:i/>
          <w:sz w:val="17"/>
          <w:szCs w:val="17"/>
          <w:lang w:val="en-US"/>
        </w:rPr>
        <w:t>Homicide studies, 3</w:t>
      </w:r>
      <w:r w:rsidRPr="00B07D2E">
        <w:rPr>
          <w:rFonts w:ascii="Arial" w:hAnsi="Arial" w:cs="Arial"/>
          <w:sz w:val="17"/>
          <w:szCs w:val="17"/>
          <w:lang w:val="en-US"/>
        </w:rPr>
        <w:t xml:space="preserve">(4), 300-316. </w:t>
      </w:r>
      <w:hyperlink r:id="rId31" w:history="1">
        <w:r w:rsidR="005801AD" w:rsidRPr="00B07D2E">
          <w:rPr>
            <w:rStyle w:val="Hipervnculo"/>
            <w:rFonts w:ascii="Arial" w:hAnsi="Arial" w:cs="Arial"/>
            <w:sz w:val="17"/>
            <w:szCs w:val="17"/>
            <w:lang w:val="en-US"/>
          </w:rPr>
          <w:t>https://doi.org/10.1177/1088767999003004003</w:t>
        </w:r>
      </w:hyperlink>
      <w:r w:rsidRPr="00B07D2E">
        <w:rPr>
          <w:rFonts w:ascii="Arial" w:hAnsi="Arial" w:cs="Arial"/>
          <w:sz w:val="17"/>
          <w:szCs w:val="17"/>
          <w:lang w:val="en-US"/>
        </w:rPr>
        <w:t xml:space="preserve"> </w:t>
      </w:r>
    </w:p>
    <w:p w14:paraId="53C57CB9" w14:textId="77777777" w:rsidR="00126A02" w:rsidRPr="00B07D2E" w:rsidRDefault="00126A02" w:rsidP="005801AD">
      <w:pPr>
        <w:spacing w:after="0" w:line="240" w:lineRule="auto"/>
        <w:ind w:left="709" w:hanging="709"/>
        <w:jc w:val="both"/>
        <w:rPr>
          <w:rFonts w:ascii="Arial" w:hAnsi="Arial" w:cs="Arial"/>
          <w:sz w:val="17"/>
          <w:szCs w:val="17"/>
          <w:lang w:val="es-PE"/>
        </w:rPr>
      </w:pPr>
      <w:r w:rsidRPr="00B07D2E">
        <w:rPr>
          <w:rFonts w:ascii="Arial" w:hAnsi="Arial" w:cs="Arial"/>
          <w:sz w:val="17"/>
          <w:szCs w:val="17"/>
        </w:rPr>
        <w:t xml:space="preserve">Morcillo, C. (2020). </w:t>
      </w:r>
      <w:r w:rsidRPr="00B07D2E">
        <w:rPr>
          <w:rFonts w:ascii="Arial" w:hAnsi="Arial" w:cs="Arial"/>
          <w:i/>
          <w:sz w:val="17"/>
          <w:szCs w:val="17"/>
        </w:rPr>
        <w:t>El feminicidio como delito de género.</w:t>
      </w:r>
      <w:r w:rsidRPr="00B07D2E">
        <w:rPr>
          <w:rFonts w:ascii="Arial" w:hAnsi="Arial" w:cs="Arial"/>
          <w:sz w:val="17"/>
          <w:szCs w:val="17"/>
        </w:rPr>
        <w:t xml:space="preserve"> Dykinson.</w:t>
      </w:r>
    </w:p>
    <w:p w14:paraId="5A4E9A79"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Naciones Unidas. (2021). Estudio exploratorio de los casos de feminicidio en Perú. </w:t>
      </w:r>
      <w:hyperlink r:id="rId32" w:history="1">
        <w:r w:rsidRPr="00B07D2E">
          <w:rPr>
            <w:rStyle w:val="Hipervnculo"/>
            <w:rFonts w:ascii="Arial" w:hAnsi="Arial" w:cs="Arial"/>
            <w:sz w:val="17"/>
            <w:szCs w:val="17"/>
          </w:rPr>
          <w:t>https://goo.su/Tailh</w:t>
        </w:r>
      </w:hyperlink>
      <w:r w:rsidRPr="00B07D2E">
        <w:rPr>
          <w:rFonts w:ascii="Arial" w:hAnsi="Arial" w:cs="Arial"/>
          <w:sz w:val="17"/>
          <w:szCs w:val="17"/>
        </w:rPr>
        <w:t xml:space="preserve"> </w:t>
      </w:r>
    </w:p>
    <w:p w14:paraId="148908EC"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Oficina de las Naciones Unidas contra la Droga y el Delito (UNODC). (2023). Los asesinatos de mujeres y niñas son evitables: los datos importan. </w:t>
      </w:r>
      <w:hyperlink r:id="rId33" w:history="1">
        <w:r w:rsidRPr="00B07D2E">
          <w:rPr>
            <w:rStyle w:val="Hipervnculo"/>
            <w:rFonts w:ascii="Arial" w:hAnsi="Arial" w:cs="Arial"/>
            <w:sz w:val="17"/>
            <w:szCs w:val="17"/>
          </w:rPr>
          <w:t>https://goo.su/U8pmTN</w:t>
        </w:r>
      </w:hyperlink>
      <w:r w:rsidRPr="00B07D2E">
        <w:rPr>
          <w:rFonts w:ascii="Arial" w:hAnsi="Arial" w:cs="Arial"/>
          <w:sz w:val="17"/>
          <w:szCs w:val="17"/>
        </w:rPr>
        <w:t xml:space="preserve"> </w:t>
      </w:r>
    </w:p>
    <w:p w14:paraId="68280DF7"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Oficina del Fiscal - Corte Penal Internacional. (2014). Documento de política general sobre crímenes sexuales y por motivos de género. </w:t>
      </w:r>
      <w:hyperlink r:id="rId34" w:history="1">
        <w:r w:rsidRPr="00B07D2E">
          <w:rPr>
            <w:rStyle w:val="Hipervnculo"/>
            <w:rFonts w:ascii="Arial" w:hAnsi="Arial" w:cs="Arial"/>
            <w:sz w:val="17"/>
            <w:szCs w:val="17"/>
          </w:rPr>
          <w:t>https://goo.su/nyesLH</w:t>
        </w:r>
      </w:hyperlink>
      <w:r w:rsidRPr="00B07D2E">
        <w:rPr>
          <w:rFonts w:ascii="Arial" w:hAnsi="Arial" w:cs="Arial"/>
          <w:sz w:val="17"/>
          <w:szCs w:val="17"/>
        </w:rPr>
        <w:t xml:space="preserve"> </w:t>
      </w:r>
    </w:p>
    <w:p w14:paraId="63AC9A77"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Olavarría, L. (2022). </w:t>
      </w:r>
      <w:r w:rsidRPr="00B07D2E">
        <w:rPr>
          <w:rFonts w:ascii="Arial" w:hAnsi="Arial" w:cs="Arial"/>
          <w:i/>
          <w:sz w:val="17"/>
          <w:szCs w:val="17"/>
        </w:rPr>
        <w:t>El feminicidio no es un delito de género.</w:t>
      </w:r>
      <w:r w:rsidRPr="00B07D2E">
        <w:rPr>
          <w:rFonts w:ascii="Arial" w:hAnsi="Arial" w:cs="Arial"/>
          <w:sz w:val="17"/>
          <w:szCs w:val="17"/>
        </w:rPr>
        <w:t xml:space="preserve"> Instituto de Investigación Científica de la PUCP.</w:t>
      </w:r>
    </w:p>
    <w:p w14:paraId="6FAEA9FC"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Ortega, C. (2023). Análisis de datos de una investigación cualitativa. </w:t>
      </w:r>
      <w:hyperlink r:id="rId35" w:history="1">
        <w:r w:rsidRPr="00B07D2E">
          <w:rPr>
            <w:rStyle w:val="Hipervnculo"/>
            <w:rFonts w:ascii="Arial" w:hAnsi="Arial" w:cs="Arial"/>
            <w:sz w:val="17"/>
            <w:szCs w:val="17"/>
          </w:rPr>
          <w:t>https://www.questionpro.com/blog/es/analisis-de-datos-de-una-investigacion-cualitativa/</w:t>
        </w:r>
      </w:hyperlink>
      <w:r w:rsidRPr="00B07D2E">
        <w:rPr>
          <w:rFonts w:ascii="Arial" w:hAnsi="Arial" w:cs="Arial"/>
          <w:sz w:val="17"/>
          <w:szCs w:val="17"/>
        </w:rPr>
        <w:t xml:space="preserve"> </w:t>
      </w:r>
    </w:p>
    <w:p w14:paraId="1ABC11D3"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Ortiz, M. L. (2022). </w:t>
      </w:r>
      <w:r w:rsidRPr="00B07D2E">
        <w:rPr>
          <w:rFonts w:ascii="Arial" w:hAnsi="Arial" w:cs="Arial"/>
          <w:i/>
          <w:sz w:val="17"/>
          <w:szCs w:val="17"/>
        </w:rPr>
        <w:t>Violencia de género en Perú: Un análisis desde la perspectiva de las mujeres sobrevivientes.</w:t>
      </w:r>
      <w:r w:rsidRPr="00B07D2E">
        <w:rPr>
          <w:rFonts w:ascii="Arial" w:hAnsi="Arial" w:cs="Arial"/>
          <w:sz w:val="17"/>
          <w:szCs w:val="17"/>
        </w:rPr>
        <w:t xml:space="preserve"> Centro de la Mujer Peruana Flora Tristán.</w:t>
      </w:r>
    </w:p>
    <w:p w14:paraId="3C048712" w14:textId="48E6D22D"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Puente, M. (2021). ¿Es posible construir una teoría de la justicia feminista? </w:t>
      </w:r>
      <w:r w:rsidRPr="00B07D2E">
        <w:rPr>
          <w:rFonts w:ascii="Arial" w:hAnsi="Arial" w:cs="Arial"/>
          <w:i/>
          <w:sz w:val="17"/>
          <w:szCs w:val="17"/>
        </w:rPr>
        <w:t>Revista internacional de Pensamiento Político,</w:t>
      </w:r>
      <w:r w:rsidRPr="00B07D2E">
        <w:rPr>
          <w:rFonts w:ascii="Arial" w:hAnsi="Arial" w:cs="Arial"/>
          <w:sz w:val="17"/>
          <w:szCs w:val="17"/>
        </w:rPr>
        <w:t xml:space="preserve"> (16), 595-610. </w:t>
      </w:r>
      <w:r w:rsidR="005801AD" w:rsidRPr="00B07D2E">
        <w:rPr>
          <w:rFonts w:ascii="Arial" w:hAnsi="Arial" w:cs="Arial"/>
          <w:color w:val="4472C4" w:themeColor="accent1"/>
          <w:sz w:val="17"/>
          <w:szCs w:val="17"/>
          <w:u w:val="single"/>
        </w:rPr>
        <w:t>https://dialnet.unirioja.es/servlet/articulo?codigo=8268613</w:t>
      </w:r>
    </w:p>
    <w:p w14:paraId="14BE98F4" w14:textId="0062B7F5"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Quiroga, A., y Lorenzo, M. (2019). Contribuciones de la criminología feminista para el estudio de la delincuencia femenina.  </w:t>
      </w:r>
      <w:r w:rsidRPr="00B07D2E">
        <w:rPr>
          <w:rFonts w:ascii="Arial" w:hAnsi="Arial" w:cs="Arial"/>
          <w:i/>
          <w:sz w:val="17"/>
          <w:szCs w:val="17"/>
        </w:rPr>
        <w:t>Xornada Universitaria Galega en Xénero,</w:t>
      </w:r>
      <w:r w:rsidRPr="00B07D2E">
        <w:rPr>
          <w:rFonts w:ascii="Arial" w:hAnsi="Arial" w:cs="Arial"/>
          <w:sz w:val="17"/>
          <w:szCs w:val="17"/>
        </w:rPr>
        <w:t xml:space="preserve"> 89-98.</w:t>
      </w:r>
      <w:r w:rsidR="005801AD" w:rsidRPr="00B07D2E">
        <w:rPr>
          <w:rFonts w:ascii="Arial" w:hAnsi="Arial" w:cs="Arial"/>
          <w:sz w:val="17"/>
          <w:szCs w:val="17"/>
        </w:rPr>
        <w:t xml:space="preserve"> </w:t>
      </w:r>
      <w:hyperlink r:id="rId36" w:history="1">
        <w:r w:rsidR="005801AD" w:rsidRPr="00B07D2E">
          <w:rPr>
            <w:rStyle w:val="Hipervnculo"/>
            <w:rFonts w:ascii="Arial" w:hAnsi="Arial" w:cs="Arial"/>
            <w:sz w:val="17"/>
            <w:szCs w:val="17"/>
          </w:rPr>
          <w:t>https://ruc.udc.es/dspace/bitstream/handle/2183/24498/Reconstruindo_o_co%EF%BF%BDecemento_2019.pdf?sequence=5</w:t>
        </w:r>
      </w:hyperlink>
      <w:r w:rsidRPr="00B07D2E">
        <w:rPr>
          <w:rFonts w:ascii="Arial" w:hAnsi="Arial" w:cs="Arial"/>
          <w:sz w:val="17"/>
          <w:szCs w:val="17"/>
        </w:rPr>
        <w:t xml:space="preserve">   </w:t>
      </w:r>
    </w:p>
    <w:p w14:paraId="6EFE9331" w14:textId="5C78CCE1" w:rsidR="00126A02" w:rsidRPr="00B07D2E" w:rsidRDefault="00126A02" w:rsidP="005801AD">
      <w:pPr>
        <w:spacing w:after="0" w:line="240" w:lineRule="auto"/>
        <w:ind w:left="709" w:hanging="709"/>
        <w:jc w:val="both"/>
        <w:rPr>
          <w:rFonts w:ascii="Arial" w:hAnsi="Arial" w:cs="Arial"/>
          <w:sz w:val="17"/>
          <w:szCs w:val="17"/>
          <w:lang w:val="es-VE"/>
        </w:rPr>
      </w:pPr>
      <w:r w:rsidRPr="00B07D2E">
        <w:rPr>
          <w:rFonts w:ascii="Arial" w:hAnsi="Arial" w:cs="Arial"/>
          <w:sz w:val="17"/>
          <w:szCs w:val="17"/>
        </w:rPr>
        <w:t xml:space="preserve">Racca, I. (2015). Análisis crítico sobre el tipo penal de femicidio. </w:t>
      </w:r>
      <w:r w:rsidRPr="00B07D2E">
        <w:rPr>
          <w:rFonts w:ascii="Arial" w:hAnsi="Arial" w:cs="Arial"/>
          <w:i/>
          <w:sz w:val="17"/>
          <w:szCs w:val="17"/>
        </w:rPr>
        <w:t>Revista de Pensamiento Penal,</w:t>
      </w:r>
      <w:r w:rsidRPr="00B07D2E">
        <w:rPr>
          <w:rFonts w:ascii="Arial" w:hAnsi="Arial" w:cs="Arial"/>
          <w:sz w:val="17"/>
          <w:szCs w:val="17"/>
        </w:rPr>
        <w:t xml:space="preserve"> 1-13. </w:t>
      </w:r>
      <w:hyperlink r:id="rId37" w:history="1">
        <w:r w:rsidRPr="00B07D2E">
          <w:rPr>
            <w:rStyle w:val="Hipervnculo"/>
            <w:rFonts w:ascii="Arial" w:hAnsi="Arial" w:cs="Arial"/>
            <w:sz w:val="17"/>
            <w:szCs w:val="17"/>
            <w:lang w:val="es-VE"/>
          </w:rPr>
          <w:t>http://www.pensamientopenal.com.ar/system/files/2015/08/doctrina41797.pdf</w:t>
        </w:r>
      </w:hyperlink>
      <w:r w:rsidRPr="00B07D2E">
        <w:rPr>
          <w:rFonts w:ascii="Arial" w:hAnsi="Arial" w:cs="Arial"/>
          <w:sz w:val="17"/>
          <w:szCs w:val="17"/>
          <w:lang w:val="es-VE"/>
        </w:rPr>
        <w:t xml:space="preserve">  </w:t>
      </w:r>
    </w:p>
    <w:p w14:paraId="3761B4BD" w14:textId="1064CAEC"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Ribeiro, M., y Cavalcanti, A. (2014). Sociologia e política do feminicídio; algumas chaves interpretativas a partir de caso mexicano. </w:t>
      </w:r>
      <w:r w:rsidRPr="00B07D2E">
        <w:rPr>
          <w:rFonts w:ascii="Arial" w:hAnsi="Arial" w:cs="Arial"/>
          <w:i/>
          <w:sz w:val="17"/>
          <w:szCs w:val="17"/>
        </w:rPr>
        <w:t>Revista Brasileira de Sociologia, 2</w:t>
      </w:r>
      <w:r w:rsidRPr="00B07D2E">
        <w:rPr>
          <w:rFonts w:ascii="Arial" w:hAnsi="Arial" w:cs="Arial"/>
          <w:sz w:val="17"/>
          <w:szCs w:val="17"/>
        </w:rPr>
        <w:t xml:space="preserve">(2), 119-148. </w:t>
      </w:r>
      <w:hyperlink r:id="rId38" w:history="1">
        <w:r w:rsidRPr="00B07D2E">
          <w:rPr>
            <w:rStyle w:val="Hipervnculo"/>
            <w:rFonts w:ascii="Arial" w:hAnsi="Arial" w:cs="Arial"/>
            <w:sz w:val="17"/>
            <w:szCs w:val="17"/>
          </w:rPr>
          <w:t>https://doi.org/10.1590/S0102-69922014000200004</w:t>
        </w:r>
      </w:hyperlink>
      <w:r w:rsidRPr="00B07D2E">
        <w:rPr>
          <w:rFonts w:ascii="Arial" w:hAnsi="Arial" w:cs="Arial"/>
          <w:sz w:val="17"/>
          <w:szCs w:val="17"/>
        </w:rPr>
        <w:t xml:space="preserve">  </w:t>
      </w:r>
    </w:p>
    <w:p w14:paraId="3A5F8CE7" w14:textId="048E5DF2" w:rsidR="00126A02" w:rsidRPr="00B07D2E" w:rsidRDefault="00126A02" w:rsidP="005801AD">
      <w:pPr>
        <w:spacing w:after="0" w:line="240" w:lineRule="auto"/>
        <w:ind w:left="709" w:hanging="709"/>
        <w:jc w:val="both"/>
        <w:rPr>
          <w:rFonts w:ascii="Arial" w:hAnsi="Arial" w:cs="Arial"/>
          <w:sz w:val="17"/>
          <w:szCs w:val="17"/>
          <w:lang w:val="es-VE"/>
        </w:rPr>
      </w:pPr>
      <w:r w:rsidRPr="00B07D2E">
        <w:rPr>
          <w:rFonts w:ascii="Arial" w:hAnsi="Arial" w:cs="Arial"/>
          <w:sz w:val="17"/>
          <w:szCs w:val="17"/>
          <w:lang w:val="es-VE"/>
        </w:rPr>
        <w:t xml:space="preserve">Sagot, M. (2008). </w:t>
      </w:r>
      <w:r w:rsidRPr="00B07D2E">
        <w:rPr>
          <w:rFonts w:ascii="Arial" w:hAnsi="Arial" w:cs="Arial"/>
          <w:sz w:val="17"/>
          <w:szCs w:val="17"/>
        </w:rPr>
        <w:t xml:space="preserve">Estrategias para enfrentar la violencia contra las mujeres: Reflexiones feministas desde América Latina. </w:t>
      </w:r>
      <w:r w:rsidRPr="00B07D2E">
        <w:rPr>
          <w:rFonts w:ascii="Arial" w:hAnsi="Arial" w:cs="Arial"/>
          <w:i/>
          <w:sz w:val="17"/>
          <w:szCs w:val="17"/>
          <w:lang w:val="es-VE"/>
        </w:rPr>
        <w:t>Athenea Digital, 14</w:t>
      </w:r>
      <w:r w:rsidRPr="00B07D2E">
        <w:rPr>
          <w:rFonts w:ascii="Arial" w:hAnsi="Arial" w:cs="Arial"/>
          <w:sz w:val="17"/>
          <w:szCs w:val="17"/>
          <w:lang w:val="es-VE"/>
        </w:rPr>
        <w:t xml:space="preserve">, 215-228. </w:t>
      </w:r>
      <w:hyperlink r:id="rId39" w:history="1">
        <w:r w:rsidRPr="00B07D2E">
          <w:rPr>
            <w:rStyle w:val="Hipervnculo"/>
            <w:rFonts w:ascii="Arial" w:hAnsi="Arial" w:cs="Arial"/>
            <w:sz w:val="17"/>
            <w:szCs w:val="17"/>
            <w:lang w:val="es-VE"/>
          </w:rPr>
          <w:t>https://doi.org/10.5565/rev/athenead/v0n14.463</w:t>
        </w:r>
      </w:hyperlink>
      <w:r w:rsidRPr="00B07D2E">
        <w:rPr>
          <w:rFonts w:ascii="Arial" w:hAnsi="Arial" w:cs="Arial"/>
          <w:sz w:val="17"/>
          <w:szCs w:val="17"/>
          <w:lang w:val="es-VE"/>
        </w:rPr>
        <w:t xml:space="preserve"> </w:t>
      </w:r>
    </w:p>
    <w:p w14:paraId="7EAD5660" w14:textId="7633CFC3" w:rsidR="00126A02" w:rsidRPr="00B07D2E" w:rsidRDefault="00126A02" w:rsidP="005801AD">
      <w:pPr>
        <w:spacing w:after="0" w:line="240" w:lineRule="auto"/>
        <w:ind w:left="709" w:hanging="709"/>
        <w:jc w:val="both"/>
        <w:rPr>
          <w:rFonts w:ascii="Arial" w:hAnsi="Arial" w:cs="Arial"/>
          <w:sz w:val="17"/>
          <w:szCs w:val="17"/>
          <w:lang w:val="es-VE"/>
        </w:rPr>
      </w:pPr>
      <w:r w:rsidRPr="00B07D2E">
        <w:rPr>
          <w:rFonts w:ascii="Arial" w:hAnsi="Arial" w:cs="Arial"/>
          <w:sz w:val="17"/>
          <w:szCs w:val="17"/>
        </w:rPr>
        <w:t xml:space="preserve">Sepúlveda, F., Chica, J., y Rodríguez, A. (2018). </w:t>
      </w:r>
      <w:r w:rsidRPr="00B07D2E">
        <w:rPr>
          <w:rFonts w:ascii="Arial" w:hAnsi="Arial" w:cs="Arial"/>
          <w:sz w:val="17"/>
          <w:szCs w:val="17"/>
          <w:lang w:val="en-US"/>
        </w:rPr>
        <w:t xml:space="preserve">The spatial heterogeneity of factors of feminicide: The case of Antioquia-Colombia.  </w:t>
      </w:r>
      <w:r w:rsidRPr="00B07D2E">
        <w:rPr>
          <w:rFonts w:ascii="Arial" w:hAnsi="Arial" w:cs="Arial"/>
          <w:i/>
          <w:sz w:val="17"/>
          <w:szCs w:val="17"/>
        </w:rPr>
        <w:t xml:space="preserve">Applied Geography, </w:t>
      </w:r>
      <w:r w:rsidRPr="00B07D2E">
        <w:rPr>
          <w:rFonts w:ascii="Arial" w:hAnsi="Arial" w:cs="Arial"/>
          <w:sz w:val="17"/>
          <w:szCs w:val="17"/>
        </w:rPr>
        <w:t xml:space="preserve">92, 63-73. Scopus. </w:t>
      </w:r>
      <w:hyperlink r:id="rId40" w:history="1">
        <w:r w:rsidRPr="00B07D2E">
          <w:rPr>
            <w:rStyle w:val="Hipervnculo"/>
            <w:rFonts w:ascii="Arial" w:hAnsi="Arial" w:cs="Arial"/>
            <w:sz w:val="17"/>
            <w:szCs w:val="17"/>
            <w:lang w:val="es-VE"/>
          </w:rPr>
          <w:t>https://doi.org/10.1016/j.apgeog.2018.01.006</w:t>
        </w:r>
      </w:hyperlink>
      <w:r w:rsidRPr="00B07D2E">
        <w:rPr>
          <w:rFonts w:ascii="Arial" w:hAnsi="Arial" w:cs="Arial"/>
          <w:sz w:val="17"/>
          <w:szCs w:val="17"/>
          <w:lang w:val="es-VE"/>
        </w:rPr>
        <w:t xml:space="preserve"> </w:t>
      </w:r>
    </w:p>
    <w:p w14:paraId="5AD7A69F" w14:textId="77777777" w:rsidR="00126A02" w:rsidRPr="00B07D2E" w:rsidRDefault="00126A02" w:rsidP="005801AD">
      <w:pPr>
        <w:spacing w:after="0" w:line="240" w:lineRule="auto"/>
        <w:ind w:left="709" w:hanging="709"/>
        <w:jc w:val="both"/>
        <w:rPr>
          <w:rFonts w:ascii="Arial" w:hAnsi="Arial" w:cs="Arial"/>
          <w:sz w:val="17"/>
          <w:szCs w:val="17"/>
          <w:lang w:val="es-PE"/>
        </w:rPr>
      </w:pPr>
      <w:r w:rsidRPr="00B07D2E">
        <w:rPr>
          <w:rFonts w:ascii="Arial" w:hAnsi="Arial" w:cs="Arial"/>
          <w:sz w:val="17"/>
          <w:szCs w:val="17"/>
        </w:rPr>
        <w:t xml:space="preserve">Silva, G., Huamantumba, M., Córdova, E., Silva, E., y Chávez Quesquén, W. (2023). Afectación del derecho a la indemnidad sexual en delitos de actos contra el pudor. Análisis de procesos judiciales en Tarapoto. </w:t>
      </w:r>
      <w:hyperlink r:id="rId41" w:history="1">
        <w:r w:rsidRPr="00B07D2E">
          <w:rPr>
            <w:rStyle w:val="Hipervnculo"/>
            <w:rFonts w:ascii="Arial" w:hAnsi="Arial" w:cs="Arial"/>
            <w:sz w:val="17"/>
            <w:szCs w:val="17"/>
          </w:rPr>
          <w:t>https://api.semanticscholar.org/CorpusID:258358790</w:t>
        </w:r>
      </w:hyperlink>
      <w:r w:rsidRPr="00B07D2E">
        <w:rPr>
          <w:rFonts w:ascii="Arial" w:hAnsi="Arial" w:cs="Arial"/>
          <w:sz w:val="17"/>
          <w:szCs w:val="17"/>
        </w:rPr>
        <w:t xml:space="preserve"> </w:t>
      </w:r>
    </w:p>
    <w:p w14:paraId="1E200472"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Swissinfo. (2023). Perú registró 110 casos de feminicidio y 100.000 de violencia familiar en 2023. </w:t>
      </w:r>
      <w:hyperlink r:id="rId42" w:history="1">
        <w:r w:rsidRPr="00B07D2E">
          <w:rPr>
            <w:rStyle w:val="Hipervnculo"/>
            <w:rFonts w:ascii="Arial" w:hAnsi="Arial" w:cs="Arial"/>
            <w:sz w:val="17"/>
            <w:szCs w:val="17"/>
          </w:rPr>
          <w:t>https://goo.su/oFgcPt</w:t>
        </w:r>
      </w:hyperlink>
      <w:r w:rsidRPr="00B07D2E">
        <w:rPr>
          <w:rFonts w:ascii="Arial" w:hAnsi="Arial" w:cs="Arial"/>
          <w:sz w:val="17"/>
          <w:szCs w:val="17"/>
        </w:rPr>
        <w:t xml:space="preserve"> </w:t>
      </w:r>
    </w:p>
    <w:p w14:paraId="4D57455B" w14:textId="77777777" w:rsidR="00126A02" w:rsidRPr="00B07D2E"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Torres, C. (2021). </w:t>
      </w:r>
      <w:r w:rsidRPr="00B07D2E">
        <w:rPr>
          <w:rFonts w:ascii="Arial" w:hAnsi="Arial" w:cs="Arial"/>
          <w:i/>
          <w:sz w:val="17"/>
          <w:szCs w:val="17"/>
        </w:rPr>
        <w:t>El feminicidio no es un problema creciente.</w:t>
      </w:r>
      <w:r w:rsidRPr="00B07D2E">
        <w:rPr>
          <w:rFonts w:ascii="Arial" w:hAnsi="Arial" w:cs="Arial"/>
          <w:sz w:val="17"/>
          <w:szCs w:val="17"/>
        </w:rPr>
        <w:t xml:space="preserve"> CEDEMU.</w:t>
      </w:r>
    </w:p>
    <w:p w14:paraId="280C99E3" w14:textId="1F1266BF" w:rsidR="00126A02" w:rsidRPr="005801AD" w:rsidRDefault="00126A02" w:rsidP="005801AD">
      <w:pPr>
        <w:spacing w:after="0" w:line="240" w:lineRule="auto"/>
        <w:ind w:left="709" w:hanging="709"/>
        <w:jc w:val="both"/>
        <w:rPr>
          <w:rFonts w:ascii="Arial" w:hAnsi="Arial" w:cs="Arial"/>
          <w:sz w:val="17"/>
          <w:szCs w:val="17"/>
        </w:rPr>
      </w:pPr>
      <w:r w:rsidRPr="00B07D2E">
        <w:rPr>
          <w:rFonts w:ascii="Arial" w:hAnsi="Arial" w:cs="Arial"/>
          <w:sz w:val="17"/>
          <w:szCs w:val="17"/>
        </w:rPr>
        <w:t xml:space="preserve">Vázquez, C. (2019). Técnica legislativa del feminicidio y sus problemas probatorios. </w:t>
      </w:r>
      <w:r w:rsidRPr="00B07D2E">
        <w:rPr>
          <w:rFonts w:ascii="Arial" w:hAnsi="Arial" w:cs="Arial"/>
          <w:i/>
          <w:sz w:val="17"/>
          <w:szCs w:val="17"/>
        </w:rPr>
        <w:t xml:space="preserve">Doxa. Cuadernos De Filosofía Del Derecho, </w:t>
      </w:r>
      <w:r w:rsidRPr="00B07D2E">
        <w:rPr>
          <w:rFonts w:ascii="Arial" w:hAnsi="Arial" w:cs="Arial"/>
          <w:sz w:val="17"/>
          <w:szCs w:val="17"/>
        </w:rPr>
        <w:t xml:space="preserve">(42), 193–219. </w:t>
      </w:r>
      <w:hyperlink r:id="rId43" w:history="1">
        <w:r w:rsidRPr="00B07D2E">
          <w:rPr>
            <w:rStyle w:val="Hipervnculo"/>
            <w:rFonts w:ascii="Arial" w:hAnsi="Arial" w:cs="Arial"/>
            <w:sz w:val="17"/>
            <w:szCs w:val="17"/>
          </w:rPr>
          <w:t>https://doi.org/10.14198/DOXA2019.42.09</w:t>
        </w:r>
      </w:hyperlink>
      <w:r w:rsidRPr="005801AD">
        <w:rPr>
          <w:rFonts w:ascii="Arial" w:hAnsi="Arial" w:cs="Arial"/>
          <w:sz w:val="17"/>
          <w:szCs w:val="17"/>
        </w:rPr>
        <w:t xml:space="preserve"> </w:t>
      </w:r>
    </w:p>
    <w:p w14:paraId="2CAD0A91" w14:textId="77777777" w:rsidR="00683E7D" w:rsidRPr="00E271E2" w:rsidRDefault="00683E7D" w:rsidP="00BD2504">
      <w:pPr>
        <w:spacing w:after="0" w:line="240" w:lineRule="auto"/>
        <w:jc w:val="both"/>
        <w:rPr>
          <w:rFonts w:ascii="Arial" w:hAnsi="Arial" w:cs="Arial"/>
          <w:sz w:val="20"/>
          <w:szCs w:val="20"/>
        </w:rPr>
      </w:pPr>
    </w:p>
    <w:sectPr w:rsidR="00683E7D" w:rsidRPr="00E271E2" w:rsidSect="00627E06">
      <w:footerReference w:type="default" r:id="rId44"/>
      <w:footerReference w:type="first" r:id="rId45"/>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8D0C" w14:textId="77777777" w:rsidR="006C77CF" w:rsidRDefault="006C77CF" w:rsidP="00683E7D">
      <w:pPr>
        <w:spacing w:after="0" w:line="240" w:lineRule="auto"/>
      </w:pPr>
      <w:r>
        <w:separator/>
      </w:r>
    </w:p>
  </w:endnote>
  <w:endnote w:type="continuationSeparator" w:id="0">
    <w:p w14:paraId="681EE812" w14:textId="77777777" w:rsidR="006C77CF" w:rsidRDefault="006C77CF"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rompt">
    <w:charset w:val="DE"/>
    <w:family w:val="auto"/>
    <w:pitch w:val="variable"/>
    <w:sig w:usb0="21000007" w:usb1="00000001" w:usb2="00000000" w:usb3="00000000" w:csb0="00010193" w:csb1="00000000"/>
  </w:font>
  <w:font w:name="Poppins Black">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5680" w14:textId="43807859" w:rsidR="00627E06" w:rsidRPr="00627E06" w:rsidRDefault="005801AD" w:rsidP="00627E06">
    <w:pPr>
      <w:spacing w:after="0" w:line="240" w:lineRule="auto"/>
      <w:rPr>
        <w:rFonts w:ascii="Prompt" w:hAnsi="Prompt" w:cs="Prompt"/>
        <w:color w:val="1C4894"/>
        <w:sz w:val="16"/>
        <w:szCs w:val="16"/>
      </w:rPr>
    </w:pPr>
    <w:r>
      <w:rPr>
        <w:rFonts w:ascii="Prompt" w:hAnsi="Prompt" w:cs="Prompt"/>
        <w:color w:val="1C4894"/>
        <w:sz w:val="16"/>
        <w:szCs w:val="16"/>
      </w:rPr>
      <w:t>Cordova Morillo, G. C</w:t>
    </w:r>
    <w:r w:rsidR="00627E06" w:rsidRPr="00627E06">
      <w:rPr>
        <w:rFonts w:ascii="Prompt" w:hAnsi="Prompt" w:cs="Prompt"/>
        <w:color w:val="1C4894"/>
        <w:sz w:val="16"/>
        <w:szCs w:val="16"/>
      </w:rPr>
      <w:t xml:space="preserve"> (2025).</w:t>
    </w:r>
    <w:r w:rsidR="00DA6B43">
      <w:rPr>
        <w:rFonts w:ascii="Prompt" w:hAnsi="Prompt" w:cs="Prompt"/>
        <w:color w:val="1C4894"/>
        <w:sz w:val="16"/>
        <w:szCs w:val="16"/>
      </w:rPr>
      <w:t xml:space="preserve"> </w:t>
    </w:r>
    <w:r w:rsidRPr="005801AD">
      <w:rPr>
        <w:rFonts w:ascii="Prompt" w:hAnsi="Prompt" w:cs="Prompt"/>
        <w:color w:val="1C4894"/>
        <w:sz w:val="16"/>
        <w:szCs w:val="16"/>
      </w:rPr>
      <w:t>Feminicidio: análisis crítico de su sobredimensión en el derecho penal</w:t>
    </w:r>
    <w:r>
      <w:rPr>
        <w:rFonts w:ascii="Prompt" w:hAnsi="Prompt" w:cs="Prompt"/>
        <w:color w:val="1C4894"/>
        <w:sz w:val="16"/>
        <w:szCs w:val="16"/>
      </w:rPr>
      <w:t xml:space="preserve">. </w:t>
    </w:r>
    <w:r w:rsidR="00627E06" w:rsidRPr="00627E06">
      <w:rPr>
        <w:rFonts w:ascii="Prompt" w:hAnsi="Prompt" w:cs="Prompt"/>
        <w:i/>
        <w:iCs/>
        <w:color w:val="1C4894"/>
        <w:sz w:val="16"/>
        <w:szCs w:val="16"/>
      </w:rPr>
      <w:t>Revista InveCom, 5</w:t>
    </w:r>
    <w:r w:rsidR="00627E06" w:rsidRPr="00627E06">
      <w:rPr>
        <w:rFonts w:ascii="Prompt" w:hAnsi="Prompt" w:cs="Prompt"/>
        <w:color w:val="1C4894"/>
        <w:sz w:val="16"/>
        <w:szCs w:val="16"/>
      </w:rPr>
      <w:t>(</w:t>
    </w:r>
    <w:r w:rsidR="00DA6B43">
      <w:rPr>
        <w:rFonts w:ascii="Prompt" w:hAnsi="Prompt" w:cs="Prompt"/>
        <w:color w:val="1C4894"/>
        <w:sz w:val="16"/>
        <w:szCs w:val="16"/>
      </w:rPr>
      <w:t>4</w:t>
    </w:r>
    <w:r w:rsidR="00627E06" w:rsidRPr="00627E06">
      <w:rPr>
        <w:rFonts w:ascii="Prompt" w:hAnsi="Prompt" w:cs="Prompt"/>
        <w:color w:val="1C4894"/>
        <w:sz w:val="16"/>
        <w:szCs w:val="16"/>
      </w:rPr>
      <w:t xml:space="preserve">). </w:t>
    </w:r>
    <w:r w:rsidR="00DA6B43">
      <w:rPr>
        <w:rFonts w:ascii="Prompt" w:hAnsi="Prompt" w:cs="Prompt"/>
        <w:color w:val="1C4894"/>
        <w:sz w:val="16"/>
        <w:szCs w:val="16"/>
      </w:rPr>
      <w:t>1</w:t>
    </w:r>
    <w:r w:rsidR="00627E06" w:rsidRPr="00627E06">
      <w:rPr>
        <w:rFonts w:ascii="Prompt" w:hAnsi="Prompt" w:cs="Prompt"/>
        <w:color w:val="1C4894"/>
        <w:sz w:val="16"/>
        <w:szCs w:val="16"/>
      </w:rPr>
      <w:t>-</w:t>
    </w:r>
    <w:r w:rsidR="00DA6B43">
      <w:rPr>
        <w:rFonts w:ascii="Prompt" w:hAnsi="Prompt" w:cs="Prompt"/>
        <w:color w:val="1C4894"/>
        <w:sz w:val="16"/>
        <w:szCs w:val="16"/>
      </w:rPr>
      <w:t>9</w:t>
    </w:r>
    <w:r w:rsidR="00627E06" w:rsidRPr="00627E06">
      <w:rPr>
        <w:rFonts w:ascii="Prompt" w:hAnsi="Prompt" w:cs="Prompt"/>
        <w:color w:val="1C4894"/>
        <w:sz w:val="16"/>
        <w:szCs w:val="16"/>
      </w:rPr>
      <w:t>.</w:t>
    </w:r>
    <w:r w:rsidR="00627E06">
      <w:rPr>
        <w:rFonts w:ascii="Prompt" w:hAnsi="Prompt" w:cs="Prompt"/>
        <w:color w:val="1C4894"/>
        <w:sz w:val="16"/>
        <w:szCs w:val="16"/>
      </w:rPr>
      <w:t xml:space="preserve"> </w:t>
    </w:r>
  </w:p>
  <w:p w14:paraId="152C630A" w14:textId="77777777" w:rsidR="00683E7D" w:rsidRPr="002D2ADB" w:rsidRDefault="00A17E32" w:rsidP="00683E7D">
    <w:pPr>
      <w:pStyle w:val="Piedepgina"/>
      <w:jc w:val="right"/>
      <w:rPr>
        <w:rFonts w:ascii="Poppins Black" w:hAnsi="Poppins Black" w:cs="Poppins Black"/>
        <w:color w:val="FFFFFF"/>
        <w:sz w:val="40"/>
        <w:szCs w:val="40"/>
      </w:rPr>
    </w:pPr>
    <w:r>
      <w:rPr>
        <w:noProof/>
      </w:rPr>
      <mc:AlternateContent>
        <mc:Choice Requires="wps">
          <w:drawing>
            <wp:anchor distT="4294967295" distB="4294967295" distL="114300" distR="114300" simplePos="0" relativeHeight="251658240" behindDoc="0" locked="0" layoutInCell="1" allowOverlap="1" wp14:anchorId="398B11E6" wp14:editId="273A8118">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FF93310"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rPr>
      <mc:AlternateContent>
        <mc:Choice Requires="wps">
          <w:drawing>
            <wp:anchor distT="0" distB="0" distL="114300" distR="114300" simplePos="0" relativeHeight="251657216" behindDoc="1" locked="0" layoutInCell="1" allowOverlap="1" wp14:anchorId="0A7735B6" wp14:editId="1A543F3E">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3D71D8"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00683E7D" w:rsidRPr="002D2ADB">
      <w:rPr>
        <w:rFonts w:ascii="Prompt" w:hAnsi="Prompt" w:cs="Prompt"/>
        <w:color w:val="FFFFFF"/>
        <w:sz w:val="28"/>
        <w:szCs w:val="28"/>
      </w:rPr>
      <w:fldChar w:fldCharType="begin"/>
    </w:r>
    <w:r w:rsidR="00683E7D" w:rsidRPr="002D2ADB">
      <w:rPr>
        <w:rFonts w:ascii="Prompt" w:hAnsi="Prompt" w:cs="Prompt"/>
        <w:color w:val="FFFFFF"/>
        <w:sz w:val="28"/>
        <w:szCs w:val="28"/>
      </w:rPr>
      <w:instrText>PAGE   \* MERGEFORMAT</w:instrText>
    </w:r>
    <w:r w:rsidR="00683E7D" w:rsidRPr="002D2ADB">
      <w:rPr>
        <w:rFonts w:ascii="Prompt" w:hAnsi="Prompt" w:cs="Prompt"/>
        <w:color w:val="FFFFFF"/>
        <w:sz w:val="28"/>
        <w:szCs w:val="28"/>
      </w:rPr>
      <w:fldChar w:fldCharType="separate"/>
    </w:r>
    <w:r w:rsidR="00683E7D" w:rsidRPr="002D2ADB">
      <w:rPr>
        <w:rFonts w:ascii="Prompt" w:hAnsi="Prompt" w:cs="Prompt"/>
        <w:color w:val="FFFFFF"/>
        <w:sz w:val="28"/>
        <w:szCs w:val="28"/>
        <w:lang w:val="es-ES"/>
      </w:rPr>
      <w:t>2</w:t>
    </w:r>
    <w:r w:rsidR="00683E7D"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6E4E" w14:textId="77777777" w:rsidR="00A85212" w:rsidRDefault="00A85212">
    <w:pPr>
      <w:pStyle w:val="Piedepgina"/>
      <w:jc w:val="right"/>
    </w:pPr>
  </w:p>
  <w:p w14:paraId="53DF90F5" w14:textId="77777777" w:rsidR="00683E7D" w:rsidRDefault="00683E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16B41" w14:textId="77777777" w:rsidR="006C77CF" w:rsidRDefault="006C77CF" w:rsidP="00683E7D">
      <w:pPr>
        <w:spacing w:after="0" w:line="240" w:lineRule="auto"/>
      </w:pPr>
      <w:r>
        <w:separator/>
      </w:r>
    </w:p>
  </w:footnote>
  <w:footnote w:type="continuationSeparator" w:id="0">
    <w:p w14:paraId="74F7CE56" w14:textId="77777777" w:rsidR="006C77CF" w:rsidRDefault="006C77CF" w:rsidP="0068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C111B"/>
    <w:multiLevelType w:val="hybridMultilevel"/>
    <w:tmpl w:val="BBC4F1B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1431542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A2"/>
    <w:rsid w:val="0004382C"/>
    <w:rsid w:val="000454DE"/>
    <w:rsid w:val="000529D8"/>
    <w:rsid w:val="00053251"/>
    <w:rsid w:val="00083D90"/>
    <w:rsid w:val="00111DD2"/>
    <w:rsid w:val="00126A02"/>
    <w:rsid w:val="001443AC"/>
    <w:rsid w:val="001844A0"/>
    <w:rsid w:val="001A08CB"/>
    <w:rsid w:val="001F3905"/>
    <w:rsid w:val="00280FF4"/>
    <w:rsid w:val="00285055"/>
    <w:rsid w:val="002A18B2"/>
    <w:rsid w:val="002C3EA6"/>
    <w:rsid w:val="002D2ADB"/>
    <w:rsid w:val="002E4A19"/>
    <w:rsid w:val="0037664A"/>
    <w:rsid w:val="00382D16"/>
    <w:rsid w:val="003B162A"/>
    <w:rsid w:val="003F2722"/>
    <w:rsid w:val="00457DB4"/>
    <w:rsid w:val="00461AE1"/>
    <w:rsid w:val="0046283F"/>
    <w:rsid w:val="00464628"/>
    <w:rsid w:val="004720DE"/>
    <w:rsid w:val="00491C48"/>
    <w:rsid w:val="004D4964"/>
    <w:rsid w:val="00510510"/>
    <w:rsid w:val="00533E91"/>
    <w:rsid w:val="0053460D"/>
    <w:rsid w:val="00534784"/>
    <w:rsid w:val="005420A2"/>
    <w:rsid w:val="00561B7A"/>
    <w:rsid w:val="005801AD"/>
    <w:rsid w:val="005E7AC1"/>
    <w:rsid w:val="00615726"/>
    <w:rsid w:val="00620B13"/>
    <w:rsid w:val="00627E06"/>
    <w:rsid w:val="00642908"/>
    <w:rsid w:val="00656CD3"/>
    <w:rsid w:val="00681B14"/>
    <w:rsid w:val="00683E7D"/>
    <w:rsid w:val="0069668E"/>
    <w:rsid w:val="006C77CF"/>
    <w:rsid w:val="006E6C19"/>
    <w:rsid w:val="007150CB"/>
    <w:rsid w:val="0074798F"/>
    <w:rsid w:val="007A199B"/>
    <w:rsid w:val="007C64CD"/>
    <w:rsid w:val="007D2296"/>
    <w:rsid w:val="00802B39"/>
    <w:rsid w:val="00860E7D"/>
    <w:rsid w:val="008F06A0"/>
    <w:rsid w:val="0092094D"/>
    <w:rsid w:val="00932FEB"/>
    <w:rsid w:val="009447C3"/>
    <w:rsid w:val="0098556A"/>
    <w:rsid w:val="009C1C68"/>
    <w:rsid w:val="009D505C"/>
    <w:rsid w:val="009E2014"/>
    <w:rsid w:val="00A17E32"/>
    <w:rsid w:val="00A508CC"/>
    <w:rsid w:val="00A8117F"/>
    <w:rsid w:val="00A85212"/>
    <w:rsid w:val="00AD34F9"/>
    <w:rsid w:val="00AE25E2"/>
    <w:rsid w:val="00B01F07"/>
    <w:rsid w:val="00B07D2E"/>
    <w:rsid w:val="00B1273E"/>
    <w:rsid w:val="00B1415C"/>
    <w:rsid w:val="00B2525B"/>
    <w:rsid w:val="00B5066D"/>
    <w:rsid w:val="00B50DF0"/>
    <w:rsid w:val="00B51632"/>
    <w:rsid w:val="00B56396"/>
    <w:rsid w:val="00BD2504"/>
    <w:rsid w:val="00BD65DF"/>
    <w:rsid w:val="00BF337B"/>
    <w:rsid w:val="00BF65C4"/>
    <w:rsid w:val="00C36237"/>
    <w:rsid w:val="00C65BA7"/>
    <w:rsid w:val="00C9682E"/>
    <w:rsid w:val="00CF1F1C"/>
    <w:rsid w:val="00CF6468"/>
    <w:rsid w:val="00D05FC8"/>
    <w:rsid w:val="00D22FB9"/>
    <w:rsid w:val="00D43043"/>
    <w:rsid w:val="00D566A7"/>
    <w:rsid w:val="00D82E8D"/>
    <w:rsid w:val="00DA6B43"/>
    <w:rsid w:val="00DE6601"/>
    <w:rsid w:val="00E14C58"/>
    <w:rsid w:val="00E271E2"/>
    <w:rsid w:val="00E84C8D"/>
    <w:rsid w:val="00EF28BE"/>
    <w:rsid w:val="00F03AC1"/>
    <w:rsid w:val="00F04A38"/>
    <w:rsid w:val="00FA1EAD"/>
    <w:rsid w:val="00FC222C"/>
    <w:rsid w:val="00FD1D33"/>
    <w:rsid w:val="00FE0A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9447F"/>
  <w15:chartTrackingRefBased/>
  <w15:docId w15:val="{8F73296F-E545-49EE-8DA5-AC48B6EC1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ar"/>
    <w:uiPriority w:val="9"/>
    <w:semiHidden/>
    <w:unhideWhenUsed/>
    <w:qFormat/>
    <w:rsid w:val="00561B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iPriority w:val="99"/>
    <w:unhideWhenUsed/>
    <w:rsid w:val="00620B13"/>
    <w:rPr>
      <w:color w:val="0563C1"/>
      <w:u w:val="single"/>
    </w:rPr>
  </w:style>
  <w:style w:type="character" w:styleId="Mencinsinresolver">
    <w:name w:val="Unresolved Mention"/>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character" w:styleId="Textoennegrita">
    <w:name w:val="Strong"/>
    <w:basedOn w:val="Fuentedeprrafopredeter"/>
    <w:uiPriority w:val="22"/>
    <w:qFormat/>
    <w:rsid w:val="005420A2"/>
    <w:rPr>
      <w:b/>
      <w:bCs/>
    </w:rPr>
  </w:style>
  <w:style w:type="paragraph" w:styleId="NormalWeb">
    <w:name w:val="Normal (Web)"/>
    <w:basedOn w:val="Normal"/>
    <w:uiPriority w:val="99"/>
    <w:unhideWhenUsed/>
    <w:rsid w:val="005420A2"/>
    <w:pPr>
      <w:spacing w:before="100" w:beforeAutospacing="1" w:after="100" w:afterAutospacing="1" w:line="240" w:lineRule="auto"/>
    </w:pPr>
    <w:rPr>
      <w:rFonts w:ascii="Times New Roman" w:eastAsia="Times New Roman" w:hAnsi="Times New Roman"/>
      <w:kern w:val="0"/>
      <w:sz w:val="24"/>
      <w:szCs w:val="24"/>
      <w:lang w:eastAsia="es-CO"/>
    </w:rPr>
  </w:style>
  <w:style w:type="character" w:customStyle="1" w:styleId="Ttulo2Car">
    <w:name w:val="Título 2 Car"/>
    <w:basedOn w:val="Fuentedeprrafopredeter"/>
    <w:link w:val="Ttulo2"/>
    <w:uiPriority w:val="9"/>
    <w:semiHidden/>
    <w:rsid w:val="00561B7A"/>
    <w:rPr>
      <w:rFonts w:asciiTheme="majorHAnsi" w:eastAsiaTheme="majorEastAsia" w:hAnsiTheme="majorHAnsi" w:cstheme="majorBidi"/>
      <w:color w:val="2F5496" w:themeColor="accent1" w:themeShade="BF"/>
      <w:kern w:val="2"/>
      <w:sz w:val="26"/>
      <w:szCs w:val="26"/>
      <w:lang w:eastAsia="en-US"/>
    </w:rPr>
  </w:style>
  <w:style w:type="paragraph" w:styleId="Descripcin">
    <w:name w:val="caption"/>
    <w:basedOn w:val="Normal"/>
    <w:next w:val="Normal"/>
    <w:uiPriority w:val="35"/>
    <w:semiHidden/>
    <w:unhideWhenUsed/>
    <w:qFormat/>
    <w:rsid w:val="0046283F"/>
    <w:pPr>
      <w:spacing w:after="200" w:line="360" w:lineRule="auto"/>
    </w:pPr>
    <w:rPr>
      <w:rFonts w:ascii="Times New Roman" w:eastAsiaTheme="minorHAnsi" w:hAnsi="Times New Roman" w:cstheme="minorBidi"/>
      <w:b/>
      <w:iCs/>
      <w:sz w:val="20"/>
      <w:szCs w:val="18"/>
      <w:lang w:val="es-EC"/>
      <w14:ligatures w14:val="standardContextual"/>
    </w:rPr>
  </w:style>
  <w:style w:type="character" w:styleId="Refdecomentario">
    <w:name w:val="annotation reference"/>
    <w:basedOn w:val="Fuentedeprrafopredeter"/>
    <w:uiPriority w:val="99"/>
    <w:semiHidden/>
    <w:unhideWhenUsed/>
    <w:rsid w:val="00F03AC1"/>
    <w:rPr>
      <w:sz w:val="16"/>
      <w:szCs w:val="16"/>
    </w:rPr>
  </w:style>
  <w:style w:type="paragraph" w:styleId="Textocomentario">
    <w:name w:val="annotation text"/>
    <w:basedOn w:val="Normal"/>
    <w:link w:val="TextocomentarioCar"/>
    <w:uiPriority w:val="99"/>
    <w:semiHidden/>
    <w:unhideWhenUsed/>
    <w:rsid w:val="00F03AC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03AC1"/>
    <w:rPr>
      <w:kern w:val="2"/>
      <w:lang w:eastAsia="en-US"/>
    </w:rPr>
  </w:style>
  <w:style w:type="paragraph" w:styleId="Asuntodelcomentario">
    <w:name w:val="annotation subject"/>
    <w:basedOn w:val="Textocomentario"/>
    <w:next w:val="Textocomentario"/>
    <w:link w:val="AsuntodelcomentarioCar"/>
    <w:uiPriority w:val="99"/>
    <w:semiHidden/>
    <w:unhideWhenUsed/>
    <w:rsid w:val="00F03AC1"/>
    <w:rPr>
      <w:b/>
      <w:bCs/>
    </w:rPr>
  </w:style>
  <w:style w:type="character" w:customStyle="1" w:styleId="AsuntodelcomentarioCar">
    <w:name w:val="Asunto del comentario Car"/>
    <w:basedOn w:val="TextocomentarioCar"/>
    <w:link w:val="Asuntodelcomentario"/>
    <w:uiPriority w:val="99"/>
    <w:semiHidden/>
    <w:rsid w:val="00F03AC1"/>
    <w:rPr>
      <w:b/>
      <w:bCs/>
      <w:kern w:val="2"/>
      <w:lang w:eastAsia="en-US"/>
    </w:rPr>
  </w:style>
  <w:style w:type="paragraph" w:styleId="Textodeglobo">
    <w:name w:val="Balloon Text"/>
    <w:basedOn w:val="Normal"/>
    <w:link w:val="TextodegloboCar"/>
    <w:uiPriority w:val="99"/>
    <w:semiHidden/>
    <w:unhideWhenUsed/>
    <w:rsid w:val="00F03AC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3AC1"/>
    <w:rPr>
      <w:rFonts w:ascii="Segoe UI" w:hAnsi="Segoe UI" w:cs="Segoe UI"/>
      <w:kern w:val="2"/>
      <w:sz w:val="18"/>
      <w:szCs w:val="18"/>
      <w:lang w:eastAsia="en-US"/>
    </w:rPr>
  </w:style>
  <w:style w:type="character" w:customStyle="1" w:styleId="PrrafodelistaCar">
    <w:name w:val="Párrafo de lista Car"/>
    <w:link w:val="Prrafodelista"/>
    <w:uiPriority w:val="34"/>
    <w:locked/>
    <w:rsid w:val="00126A02"/>
    <w:rPr>
      <w:rFonts w:ascii="Times New Roman" w:hAnsi="Times New Roman"/>
      <w:sz w:val="24"/>
      <w:lang w:val="en-US"/>
    </w:rPr>
  </w:style>
  <w:style w:type="paragraph" w:styleId="Prrafodelista">
    <w:name w:val="List Paragraph"/>
    <w:basedOn w:val="Normal"/>
    <w:link w:val="PrrafodelistaCar"/>
    <w:uiPriority w:val="34"/>
    <w:qFormat/>
    <w:rsid w:val="00126A02"/>
    <w:pPr>
      <w:spacing w:before="100" w:after="100" w:line="360" w:lineRule="auto"/>
      <w:ind w:left="720"/>
      <w:contextualSpacing/>
      <w:jc w:val="both"/>
    </w:pPr>
    <w:rPr>
      <w:rFonts w:ascii="Times New Roman" w:hAnsi="Times New Roman"/>
      <w:kern w:val="0"/>
      <w:sz w:val="24"/>
      <w:szCs w:val="20"/>
      <w:lang w:val="en-US" w:eastAsia="es-CO"/>
    </w:rPr>
  </w:style>
  <w:style w:type="table" w:styleId="Tablaconcuadrcula">
    <w:name w:val="Table Grid"/>
    <w:basedOn w:val="Tablanormal"/>
    <w:uiPriority w:val="39"/>
    <w:rsid w:val="00126A02"/>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6590">
      <w:bodyDiv w:val="1"/>
      <w:marLeft w:val="0"/>
      <w:marRight w:val="0"/>
      <w:marTop w:val="0"/>
      <w:marBottom w:val="0"/>
      <w:divBdr>
        <w:top w:val="none" w:sz="0" w:space="0" w:color="auto"/>
        <w:left w:val="none" w:sz="0" w:space="0" w:color="auto"/>
        <w:bottom w:val="none" w:sz="0" w:space="0" w:color="auto"/>
        <w:right w:val="none" w:sz="0" w:space="0" w:color="auto"/>
      </w:divBdr>
    </w:div>
    <w:div w:id="22287041">
      <w:bodyDiv w:val="1"/>
      <w:marLeft w:val="0"/>
      <w:marRight w:val="0"/>
      <w:marTop w:val="0"/>
      <w:marBottom w:val="0"/>
      <w:divBdr>
        <w:top w:val="none" w:sz="0" w:space="0" w:color="auto"/>
        <w:left w:val="none" w:sz="0" w:space="0" w:color="auto"/>
        <w:bottom w:val="none" w:sz="0" w:space="0" w:color="auto"/>
        <w:right w:val="none" w:sz="0" w:space="0" w:color="auto"/>
      </w:divBdr>
    </w:div>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150291802">
      <w:bodyDiv w:val="1"/>
      <w:marLeft w:val="0"/>
      <w:marRight w:val="0"/>
      <w:marTop w:val="0"/>
      <w:marBottom w:val="0"/>
      <w:divBdr>
        <w:top w:val="none" w:sz="0" w:space="0" w:color="auto"/>
        <w:left w:val="none" w:sz="0" w:space="0" w:color="auto"/>
        <w:bottom w:val="none" w:sz="0" w:space="0" w:color="auto"/>
        <w:right w:val="none" w:sz="0" w:space="0" w:color="auto"/>
      </w:divBdr>
    </w:div>
    <w:div w:id="208153928">
      <w:bodyDiv w:val="1"/>
      <w:marLeft w:val="0"/>
      <w:marRight w:val="0"/>
      <w:marTop w:val="0"/>
      <w:marBottom w:val="0"/>
      <w:divBdr>
        <w:top w:val="none" w:sz="0" w:space="0" w:color="auto"/>
        <w:left w:val="none" w:sz="0" w:space="0" w:color="auto"/>
        <w:bottom w:val="none" w:sz="0" w:space="0" w:color="auto"/>
        <w:right w:val="none" w:sz="0" w:space="0" w:color="auto"/>
      </w:divBdr>
    </w:div>
    <w:div w:id="210926494">
      <w:bodyDiv w:val="1"/>
      <w:marLeft w:val="0"/>
      <w:marRight w:val="0"/>
      <w:marTop w:val="0"/>
      <w:marBottom w:val="0"/>
      <w:divBdr>
        <w:top w:val="none" w:sz="0" w:space="0" w:color="auto"/>
        <w:left w:val="none" w:sz="0" w:space="0" w:color="auto"/>
        <w:bottom w:val="none" w:sz="0" w:space="0" w:color="auto"/>
        <w:right w:val="none" w:sz="0" w:space="0" w:color="auto"/>
      </w:divBdr>
    </w:div>
    <w:div w:id="317810381">
      <w:bodyDiv w:val="1"/>
      <w:marLeft w:val="0"/>
      <w:marRight w:val="0"/>
      <w:marTop w:val="0"/>
      <w:marBottom w:val="0"/>
      <w:divBdr>
        <w:top w:val="none" w:sz="0" w:space="0" w:color="auto"/>
        <w:left w:val="none" w:sz="0" w:space="0" w:color="auto"/>
        <w:bottom w:val="none" w:sz="0" w:space="0" w:color="auto"/>
        <w:right w:val="none" w:sz="0" w:space="0" w:color="auto"/>
      </w:divBdr>
    </w:div>
    <w:div w:id="367030519">
      <w:bodyDiv w:val="1"/>
      <w:marLeft w:val="0"/>
      <w:marRight w:val="0"/>
      <w:marTop w:val="0"/>
      <w:marBottom w:val="0"/>
      <w:divBdr>
        <w:top w:val="none" w:sz="0" w:space="0" w:color="auto"/>
        <w:left w:val="none" w:sz="0" w:space="0" w:color="auto"/>
        <w:bottom w:val="none" w:sz="0" w:space="0" w:color="auto"/>
        <w:right w:val="none" w:sz="0" w:space="0" w:color="auto"/>
      </w:divBdr>
    </w:div>
    <w:div w:id="383337516">
      <w:bodyDiv w:val="1"/>
      <w:marLeft w:val="0"/>
      <w:marRight w:val="0"/>
      <w:marTop w:val="0"/>
      <w:marBottom w:val="0"/>
      <w:divBdr>
        <w:top w:val="none" w:sz="0" w:space="0" w:color="auto"/>
        <w:left w:val="none" w:sz="0" w:space="0" w:color="auto"/>
        <w:bottom w:val="none" w:sz="0" w:space="0" w:color="auto"/>
        <w:right w:val="none" w:sz="0" w:space="0" w:color="auto"/>
      </w:divBdr>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542986929">
      <w:bodyDiv w:val="1"/>
      <w:marLeft w:val="0"/>
      <w:marRight w:val="0"/>
      <w:marTop w:val="0"/>
      <w:marBottom w:val="0"/>
      <w:divBdr>
        <w:top w:val="none" w:sz="0" w:space="0" w:color="auto"/>
        <w:left w:val="none" w:sz="0" w:space="0" w:color="auto"/>
        <w:bottom w:val="none" w:sz="0" w:space="0" w:color="auto"/>
        <w:right w:val="none" w:sz="0" w:space="0" w:color="auto"/>
      </w:divBdr>
    </w:div>
    <w:div w:id="584264166">
      <w:bodyDiv w:val="1"/>
      <w:marLeft w:val="0"/>
      <w:marRight w:val="0"/>
      <w:marTop w:val="0"/>
      <w:marBottom w:val="0"/>
      <w:divBdr>
        <w:top w:val="none" w:sz="0" w:space="0" w:color="auto"/>
        <w:left w:val="none" w:sz="0" w:space="0" w:color="auto"/>
        <w:bottom w:val="none" w:sz="0" w:space="0" w:color="auto"/>
        <w:right w:val="none" w:sz="0" w:space="0" w:color="auto"/>
      </w:divBdr>
    </w:div>
    <w:div w:id="653071109">
      <w:bodyDiv w:val="1"/>
      <w:marLeft w:val="0"/>
      <w:marRight w:val="0"/>
      <w:marTop w:val="0"/>
      <w:marBottom w:val="0"/>
      <w:divBdr>
        <w:top w:val="none" w:sz="0" w:space="0" w:color="auto"/>
        <w:left w:val="none" w:sz="0" w:space="0" w:color="auto"/>
        <w:bottom w:val="none" w:sz="0" w:space="0" w:color="auto"/>
        <w:right w:val="none" w:sz="0" w:space="0" w:color="auto"/>
      </w:divBdr>
    </w:div>
    <w:div w:id="707754440">
      <w:bodyDiv w:val="1"/>
      <w:marLeft w:val="0"/>
      <w:marRight w:val="0"/>
      <w:marTop w:val="0"/>
      <w:marBottom w:val="0"/>
      <w:divBdr>
        <w:top w:val="none" w:sz="0" w:space="0" w:color="auto"/>
        <w:left w:val="none" w:sz="0" w:space="0" w:color="auto"/>
        <w:bottom w:val="none" w:sz="0" w:space="0" w:color="auto"/>
        <w:right w:val="none" w:sz="0" w:space="0" w:color="auto"/>
      </w:divBdr>
    </w:div>
    <w:div w:id="719717285">
      <w:bodyDiv w:val="1"/>
      <w:marLeft w:val="0"/>
      <w:marRight w:val="0"/>
      <w:marTop w:val="0"/>
      <w:marBottom w:val="0"/>
      <w:divBdr>
        <w:top w:val="none" w:sz="0" w:space="0" w:color="auto"/>
        <w:left w:val="none" w:sz="0" w:space="0" w:color="auto"/>
        <w:bottom w:val="none" w:sz="0" w:space="0" w:color="auto"/>
        <w:right w:val="none" w:sz="0" w:space="0" w:color="auto"/>
      </w:divBdr>
    </w:div>
    <w:div w:id="865407762">
      <w:bodyDiv w:val="1"/>
      <w:marLeft w:val="0"/>
      <w:marRight w:val="0"/>
      <w:marTop w:val="0"/>
      <w:marBottom w:val="0"/>
      <w:divBdr>
        <w:top w:val="none" w:sz="0" w:space="0" w:color="auto"/>
        <w:left w:val="none" w:sz="0" w:space="0" w:color="auto"/>
        <w:bottom w:val="none" w:sz="0" w:space="0" w:color="auto"/>
        <w:right w:val="none" w:sz="0" w:space="0" w:color="auto"/>
      </w:divBdr>
    </w:div>
    <w:div w:id="914169441">
      <w:bodyDiv w:val="1"/>
      <w:marLeft w:val="0"/>
      <w:marRight w:val="0"/>
      <w:marTop w:val="0"/>
      <w:marBottom w:val="0"/>
      <w:divBdr>
        <w:top w:val="none" w:sz="0" w:space="0" w:color="auto"/>
        <w:left w:val="none" w:sz="0" w:space="0" w:color="auto"/>
        <w:bottom w:val="none" w:sz="0" w:space="0" w:color="auto"/>
        <w:right w:val="none" w:sz="0" w:space="0" w:color="auto"/>
      </w:divBdr>
    </w:div>
    <w:div w:id="923223496">
      <w:bodyDiv w:val="1"/>
      <w:marLeft w:val="0"/>
      <w:marRight w:val="0"/>
      <w:marTop w:val="0"/>
      <w:marBottom w:val="0"/>
      <w:divBdr>
        <w:top w:val="none" w:sz="0" w:space="0" w:color="auto"/>
        <w:left w:val="none" w:sz="0" w:space="0" w:color="auto"/>
        <w:bottom w:val="none" w:sz="0" w:space="0" w:color="auto"/>
        <w:right w:val="none" w:sz="0" w:space="0" w:color="auto"/>
      </w:divBdr>
    </w:div>
    <w:div w:id="1026441722">
      <w:bodyDiv w:val="1"/>
      <w:marLeft w:val="0"/>
      <w:marRight w:val="0"/>
      <w:marTop w:val="0"/>
      <w:marBottom w:val="0"/>
      <w:divBdr>
        <w:top w:val="none" w:sz="0" w:space="0" w:color="auto"/>
        <w:left w:val="none" w:sz="0" w:space="0" w:color="auto"/>
        <w:bottom w:val="none" w:sz="0" w:space="0" w:color="auto"/>
        <w:right w:val="none" w:sz="0" w:space="0" w:color="auto"/>
      </w:divBdr>
    </w:div>
    <w:div w:id="1059213097">
      <w:bodyDiv w:val="1"/>
      <w:marLeft w:val="0"/>
      <w:marRight w:val="0"/>
      <w:marTop w:val="0"/>
      <w:marBottom w:val="0"/>
      <w:divBdr>
        <w:top w:val="none" w:sz="0" w:space="0" w:color="auto"/>
        <w:left w:val="none" w:sz="0" w:space="0" w:color="auto"/>
        <w:bottom w:val="none" w:sz="0" w:space="0" w:color="auto"/>
        <w:right w:val="none" w:sz="0" w:space="0" w:color="auto"/>
      </w:divBdr>
    </w:div>
    <w:div w:id="1060635454">
      <w:bodyDiv w:val="1"/>
      <w:marLeft w:val="0"/>
      <w:marRight w:val="0"/>
      <w:marTop w:val="0"/>
      <w:marBottom w:val="0"/>
      <w:divBdr>
        <w:top w:val="none" w:sz="0" w:space="0" w:color="auto"/>
        <w:left w:val="none" w:sz="0" w:space="0" w:color="auto"/>
        <w:bottom w:val="none" w:sz="0" w:space="0" w:color="auto"/>
        <w:right w:val="none" w:sz="0" w:space="0" w:color="auto"/>
      </w:divBdr>
    </w:div>
    <w:div w:id="1097360368">
      <w:bodyDiv w:val="1"/>
      <w:marLeft w:val="0"/>
      <w:marRight w:val="0"/>
      <w:marTop w:val="0"/>
      <w:marBottom w:val="0"/>
      <w:divBdr>
        <w:top w:val="none" w:sz="0" w:space="0" w:color="auto"/>
        <w:left w:val="none" w:sz="0" w:space="0" w:color="auto"/>
        <w:bottom w:val="none" w:sz="0" w:space="0" w:color="auto"/>
        <w:right w:val="none" w:sz="0" w:space="0" w:color="auto"/>
      </w:divBdr>
    </w:div>
    <w:div w:id="1104151704">
      <w:bodyDiv w:val="1"/>
      <w:marLeft w:val="0"/>
      <w:marRight w:val="0"/>
      <w:marTop w:val="0"/>
      <w:marBottom w:val="0"/>
      <w:divBdr>
        <w:top w:val="none" w:sz="0" w:space="0" w:color="auto"/>
        <w:left w:val="none" w:sz="0" w:space="0" w:color="auto"/>
        <w:bottom w:val="none" w:sz="0" w:space="0" w:color="auto"/>
        <w:right w:val="none" w:sz="0" w:space="0" w:color="auto"/>
      </w:divBdr>
    </w:div>
    <w:div w:id="1109935257">
      <w:bodyDiv w:val="1"/>
      <w:marLeft w:val="0"/>
      <w:marRight w:val="0"/>
      <w:marTop w:val="0"/>
      <w:marBottom w:val="0"/>
      <w:divBdr>
        <w:top w:val="none" w:sz="0" w:space="0" w:color="auto"/>
        <w:left w:val="none" w:sz="0" w:space="0" w:color="auto"/>
        <w:bottom w:val="none" w:sz="0" w:space="0" w:color="auto"/>
        <w:right w:val="none" w:sz="0" w:space="0" w:color="auto"/>
      </w:divBdr>
    </w:div>
    <w:div w:id="1192840556">
      <w:bodyDiv w:val="1"/>
      <w:marLeft w:val="0"/>
      <w:marRight w:val="0"/>
      <w:marTop w:val="0"/>
      <w:marBottom w:val="0"/>
      <w:divBdr>
        <w:top w:val="none" w:sz="0" w:space="0" w:color="auto"/>
        <w:left w:val="none" w:sz="0" w:space="0" w:color="auto"/>
        <w:bottom w:val="none" w:sz="0" w:space="0" w:color="auto"/>
        <w:right w:val="none" w:sz="0" w:space="0" w:color="auto"/>
      </w:divBdr>
    </w:div>
    <w:div w:id="1266770250">
      <w:bodyDiv w:val="1"/>
      <w:marLeft w:val="0"/>
      <w:marRight w:val="0"/>
      <w:marTop w:val="0"/>
      <w:marBottom w:val="0"/>
      <w:divBdr>
        <w:top w:val="none" w:sz="0" w:space="0" w:color="auto"/>
        <w:left w:val="none" w:sz="0" w:space="0" w:color="auto"/>
        <w:bottom w:val="none" w:sz="0" w:space="0" w:color="auto"/>
        <w:right w:val="none" w:sz="0" w:space="0" w:color="auto"/>
      </w:divBdr>
    </w:div>
    <w:div w:id="1297494416">
      <w:bodyDiv w:val="1"/>
      <w:marLeft w:val="0"/>
      <w:marRight w:val="0"/>
      <w:marTop w:val="0"/>
      <w:marBottom w:val="0"/>
      <w:divBdr>
        <w:top w:val="none" w:sz="0" w:space="0" w:color="auto"/>
        <w:left w:val="none" w:sz="0" w:space="0" w:color="auto"/>
        <w:bottom w:val="none" w:sz="0" w:space="0" w:color="auto"/>
        <w:right w:val="none" w:sz="0" w:space="0" w:color="auto"/>
      </w:divBdr>
    </w:div>
    <w:div w:id="1321692287">
      <w:bodyDiv w:val="1"/>
      <w:marLeft w:val="0"/>
      <w:marRight w:val="0"/>
      <w:marTop w:val="0"/>
      <w:marBottom w:val="0"/>
      <w:divBdr>
        <w:top w:val="none" w:sz="0" w:space="0" w:color="auto"/>
        <w:left w:val="none" w:sz="0" w:space="0" w:color="auto"/>
        <w:bottom w:val="none" w:sz="0" w:space="0" w:color="auto"/>
        <w:right w:val="none" w:sz="0" w:space="0" w:color="auto"/>
      </w:divBdr>
    </w:div>
    <w:div w:id="1332299698">
      <w:bodyDiv w:val="1"/>
      <w:marLeft w:val="0"/>
      <w:marRight w:val="0"/>
      <w:marTop w:val="0"/>
      <w:marBottom w:val="0"/>
      <w:divBdr>
        <w:top w:val="none" w:sz="0" w:space="0" w:color="auto"/>
        <w:left w:val="none" w:sz="0" w:space="0" w:color="auto"/>
        <w:bottom w:val="none" w:sz="0" w:space="0" w:color="auto"/>
        <w:right w:val="none" w:sz="0" w:space="0" w:color="auto"/>
      </w:divBdr>
    </w:div>
    <w:div w:id="1407612952">
      <w:bodyDiv w:val="1"/>
      <w:marLeft w:val="0"/>
      <w:marRight w:val="0"/>
      <w:marTop w:val="0"/>
      <w:marBottom w:val="0"/>
      <w:divBdr>
        <w:top w:val="none" w:sz="0" w:space="0" w:color="auto"/>
        <w:left w:val="none" w:sz="0" w:space="0" w:color="auto"/>
        <w:bottom w:val="none" w:sz="0" w:space="0" w:color="auto"/>
        <w:right w:val="none" w:sz="0" w:space="0" w:color="auto"/>
      </w:divBdr>
    </w:div>
    <w:div w:id="1469978485">
      <w:bodyDiv w:val="1"/>
      <w:marLeft w:val="0"/>
      <w:marRight w:val="0"/>
      <w:marTop w:val="0"/>
      <w:marBottom w:val="0"/>
      <w:divBdr>
        <w:top w:val="none" w:sz="0" w:space="0" w:color="auto"/>
        <w:left w:val="none" w:sz="0" w:space="0" w:color="auto"/>
        <w:bottom w:val="none" w:sz="0" w:space="0" w:color="auto"/>
        <w:right w:val="none" w:sz="0" w:space="0" w:color="auto"/>
      </w:divBdr>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528446245">
      <w:bodyDiv w:val="1"/>
      <w:marLeft w:val="0"/>
      <w:marRight w:val="0"/>
      <w:marTop w:val="0"/>
      <w:marBottom w:val="0"/>
      <w:divBdr>
        <w:top w:val="none" w:sz="0" w:space="0" w:color="auto"/>
        <w:left w:val="none" w:sz="0" w:space="0" w:color="auto"/>
        <w:bottom w:val="none" w:sz="0" w:space="0" w:color="auto"/>
        <w:right w:val="none" w:sz="0" w:space="0" w:color="auto"/>
      </w:divBdr>
    </w:div>
    <w:div w:id="1568690834">
      <w:bodyDiv w:val="1"/>
      <w:marLeft w:val="0"/>
      <w:marRight w:val="0"/>
      <w:marTop w:val="0"/>
      <w:marBottom w:val="0"/>
      <w:divBdr>
        <w:top w:val="none" w:sz="0" w:space="0" w:color="auto"/>
        <w:left w:val="none" w:sz="0" w:space="0" w:color="auto"/>
        <w:bottom w:val="none" w:sz="0" w:space="0" w:color="auto"/>
        <w:right w:val="none" w:sz="0" w:space="0" w:color="auto"/>
      </w:divBdr>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 w:id="1711371609">
      <w:bodyDiv w:val="1"/>
      <w:marLeft w:val="0"/>
      <w:marRight w:val="0"/>
      <w:marTop w:val="0"/>
      <w:marBottom w:val="0"/>
      <w:divBdr>
        <w:top w:val="none" w:sz="0" w:space="0" w:color="auto"/>
        <w:left w:val="none" w:sz="0" w:space="0" w:color="auto"/>
        <w:bottom w:val="none" w:sz="0" w:space="0" w:color="auto"/>
        <w:right w:val="none" w:sz="0" w:space="0" w:color="auto"/>
      </w:divBdr>
    </w:div>
    <w:div w:id="1728534473">
      <w:bodyDiv w:val="1"/>
      <w:marLeft w:val="0"/>
      <w:marRight w:val="0"/>
      <w:marTop w:val="0"/>
      <w:marBottom w:val="0"/>
      <w:divBdr>
        <w:top w:val="none" w:sz="0" w:space="0" w:color="auto"/>
        <w:left w:val="none" w:sz="0" w:space="0" w:color="auto"/>
        <w:bottom w:val="none" w:sz="0" w:space="0" w:color="auto"/>
        <w:right w:val="none" w:sz="0" w:space="0" w:color="auto"/>
      </w:divBdr>
    </w:div>
    <w:div w:id="1764689412">
      <w:bodyDiv w:val="1"/>
      <w:marLeft w:val="0"/>
      <w:marRight w:val="0"/>
      <w:marTop w:val="0"/>
      <w:marBottom w:val="0"/>
      <w:divBdr>
        <w:top w:val="none" w:sz="0" w:space="0" w:color="auto"/>
        <w:left w:val="none" w:sz="0" w:space="0" w:color="auto"/>
        <w:bottom w:val="none" w:sz="0" w:space="0" w:color="auto"/>
        <w:right w:val="none" w:sz="0" w:space="0" w:color="auto"/>
      </w:divBdr>
    </w:div>
    <w:div w:id="1817646818">
      <w:bodyDiv w:val="1"/>
      <w:marLeft w:val="0"/>
      <w:marRight w:val="0"/>
      <w:marTop w:val="0"/>
      <w:marBottom w:val="0"/>
      <w:divBdr>
        <w:top w:val="none" w:sz="0" w:space="0" w:color="auto"/>
        <w:left w:val="none" w:sz="0" w:space="0" w:color="auto"/>
        <w:bottom w:val="none" w:sz="0" w:space="0" w:color="auto"/>
        <w:right w:val="none" w:sz="0" w:space="0" w:color="auto"/>
      </w:divBdr>
    </w:div>
    <w:div w:id="1927687610">
      <w:bodyDiv w:val="1"/>
      <w:marLeft w:val="0"/>
      <w:marRight w:val="0"/>
      <w:marTop w:val="0"/>
      <w:marBottom w:val="0"/>
      <w:divBdr>
        <w:top w:val="none" w:sz="0" w:space="0" w:color="auto"/>
        <w:left w:val="none" w:sz="0" w:space="0" w:color="auto"/>
        <w:bottom w:val="none" w:sz="0" w:space="0" w:color="auto"/>
        <w:right w:val="none" w:sz="0" w:space="0" w:color="auto"/>
      </w:divBdr>
    </w:div>
    <w:div w:id="2027439946">
      <w:bodyDiv w:val="1"/>
      <w:marLeft w:val="0"/>
      <w:marRight w:val="0"/>
      <w:marTop w:val="0"/>
      <w:marBottom w:val="0"/>
      <w:divBdr>
        <w:top w:val="none" w:sz="0" w:space="0" w:color="auto"/>
        <w:left w:val="none" w:sz="0" w:space="0" w:color="auto"/>
        <w:bottom w:val="none" w:sz="0" w:space="0" w:color="auto"/>
        <w:right w:val="none" w:sz="0" w:space="0" w:color="auto"/>
      </w:divBdr>
    </w:div>
    <w:div w:id="210298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einonline.org/HOL/LandingPage?handle=hein.journals/rvdpo61&amp;div=17&amp;id=&amp;page" TargetMode="External"/><Relationship Id="rId18" Type="http://schemas.openxmlformats.org/officeDocument/2006/relationships/hyperlink" Target="https://goo.su/0cwKdB" TargetMode="External"/><Relationship Id="rId26" Type="http://schemas.openxmlformats.org/officeDocument/2006/relationships/hyperlink" Target="https://doi.org/10.1590/S0102-69922014000200004" TargetMode="External"/><Relationship Id="rId39" Type="http://schemas.openxmlformats.org/officeDocument/2006/relationships/hyperlink" Target="https://doi.org/10.5565/rev/athenead/v0n14.463" TargetMode="External"/><Relationship Id="rId3" Type="http://schemas.openxmlformats.org/officeDocument/2006/relationships/styles" Target="styles.xml"/><Relationship Id="rId21" Type="http://schemas.openxmlformats.org/officeDocument/2006/relationships/hyperlink" Target="https://doi.org/10.1016/j.patter.2022.100530" TargetMode="External"/><Relationship Id="rId34" Type="http://schemas.openxmlformats.org/officeDocument/2006/relationships/hyperlink" Target="https://goo.su/nyesLH" TargetMode="External"/><Relationship Id="rId42" Type="http://schemas.openxmlformats.org/officeDocument/2006/relationships/hyperlink" Target="https://goo.su/oFgcPt"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ielo.org.mx/scielo.php?script=sci_arttext&amp;pid=S187039252014000600002&amp;lng=es&amp;tlng=es" TargetMode="External"/><Relationship Id="rId17" Type="http://schemas.openxmlformats.org/officeDocument/2006/relationships/hyperlink" Target="https://cdn.www.gob.pe/uploads/document/file/3989367/Feminicio2022.pdf.pdf" TargetMode="External"/><Relationship Id="rId25" Type="http://schemas.openxmlformats.org/officeDocument/2006/relationships/hyperlink" Target="https://alegatos.azc.uam.mx/index.php/ra/article/view/106" TargetMode="External"/><Relationship Id="rId33" Type="http://schemas.openxmlformats.org/officeDocument/2006/relationships/hyperlink" Target="https://goo.su/U8pmTN" TargetMode="External"/><Relationship Id="rId38" Type="http://schemas.openxmlformats.org/officeDocument/2006/relationships/hyperlink" Target="https://doi.org/10.1590/S0102-69922014000200004"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oo.su/iNdxU" TargetMode="External"/><Relationship Id="rId20" Type="http://schemas.openxmlformats.org/officeDocument/2006/relationships/hyperlink" Target="https://goo.su/ibTfg" TargetMode="External"/><Relationship Id="rId29" Type="http://schemas.openxmlformats.org/officeDocument/2006/relationships/hyperlink" Target="http://www.pgrweb.go.cr/scij/Busqueda/Normativa/Normas/nrm_texto_completo.aspx?param1=NRTC&amp;nValor1=1&amp;nValor2=60183&amp;nValor3=98550&amp;strTipM=TC" TargetMode="External"/><Relationship Id="rId41" Type="http://schemas.openxmlformats.org/officeDocument/2006/relationships/hyperlink" Target="https://api.semanticscholar.org/CorpusID:2583587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77/17416590231199771" TargetMode="External"/><Relationship Id="rId24" Type="http://schemas.openxmlformats.org/officeDocument/2006/relationships/hyperlink" Target="https://doi.org/10.3389/fpsyg.2022.896901" TargetMode="External"/><Relationship Id="rId32" Type="http://schemas.openxmlformats.org/officeDocument/2006/relationships/hyperlink" Target="https://goo.su/Tailh" TargetMode="External"/><Relationship Id="rId37" Type="http://schemas.openxmlformats.org/officeDocument/2006/relationships/hyperlink" Target="http://www.pensamientopenal.com.ar/system/files/2015/08/doctrina41797.pdf" TargetMode="External"/><Relationship Id="rId40" Type="http://schemas.openxmlformats.org/officeDocument/2006/relationships/hyperlink" Target="https://doi.org/10.1016/j.apgeog.2018.01.006"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i.org/10.5204/ijcjsd.v9i2.1354" TargetMode="External"/><Relationship Id="rId23" Type="http://schemas.openxmlformats.org/officeDocument/2006/relationships/hyperlink" Target="https://doi.org/10.1177/15570851211029377" TargetMode="External"/><Relationship Id="rId28" Type="http://schemas.openxmlformats.org/officeDocument/2006/relationships/hyperlink" Target="https://goo.su/sUDFHt" TargetMode="External"/><Relationship Id="rId36" Type="http://schemas.openxmlformats.org/officeDocument/2006/relationships/hyperlink" Target="https://ruc.udc.es/dspace/bitstream/handle/2183/24498/Reconstruindo_o_co%EF%BF%BDecemento_2019.pdf?sequence=5" TargetMode="External"/><Relationship Id="rId10" Type="http://schemas.openxmlformats.org/officeDocument/2006/relationships/hyperlink" Target="https://doi.org/10.5093/apj2018a4" TargetMode="External"/><Relationship Id="rId19" Type="http://schemas.openxmlformats.org/officeDocument/2006/relationships/hyperlink" Target="https://doi.org/10.17398/2695-7728.35.397" TargetMode="External"/><Relationship Id="rId31" Type="http://schemas.openxmlformats.org/officeDocument/2006/relationships/hyperlink" Target="https://doi.org/10.1177/1088767999003004003"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i.org/10.1177/1557085105282899" TargetMode="External"/><Relationship Id="rId22" Type="http://schemas.openxmlformats.org/officeDocument/2006/relationships/hyperlink" Target="https://goo.su/p8QXQlr" TargetMode="External"/><Relationship Id="rId27" Type="http://schemas.openxmlformats.org/officeDocument/2006/relationships/hyperlink" Target="https://m.inei.gob.pe/prensa/noticias/147-victimas-de-feminicidio-se-registraron-en-el-ano-2022-14592/" TargetMode="External"/><Relationship Id="rId30" Type="http://schemas.openxmlformats.org/officeDocument/2006/relationships/hyperlink" Target="https://www.gob.mx/conavim/documentos/ley-general-de-acceso-de-las-mujeres-a-una-vida-libre-de-violencia-pdf" TargetMode="External"/><Relationship Id="rId35" Type="http://schemas.openxmlformats.org/officeDocument/2006/relationships/hyperlink" Target="https://www.questionpro.com/blog/es/analisis-de-datos-de-una-investigacion-cualitativa/" TargetMode="External"/><Relationship Id="rId43" Type="http://schemas.openxmlformats.org/officeDocument/2006/relationships/hyperlink" Target="https://doi.org/10.14198/DOXA2019.42.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ti\OneDrive\Escritorio\InvecomArts\plantillaenword2.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FAA44-FFB4-4CCC-80F0-7ED1677C8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plantillaenword2</Template>
  <TotalTime>42</TotalTime>
  <Pages>9</Pages>
  <Words>5340</Words>
  <Characters>29370</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34641</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A. Ochoa Mojica</dc:creator>
  <cp:keywords/>
  <dc:description/>
  <cp:lastModifiedBy>Valentina M. Rodiguez Hernández</cp:lastModifiedBy>
  <cp:revision>15</cp:revision>
  <dcterms:created xsi:type="dcterms:W3CDTF">2025-01-15T16:37:00Z</dcterms:created>
  <dcterms:modified xsi:type="dcterms:W3CDTF">2025-01-21T03:23:00Z</dcterms:modified>
</cp:coreProperties>
</file>